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45" w:rsidRDefault="00222945" w:rsidP="00222945">
      <w:pPr>
        <w:suppressLineNumbers/>
      </w:pPr>
      <w:bookmarkStart w:id="0" w:name="_GoBack"/>
      <w:bookmarkEnd w:id="0"/>
    </w:p>
    <w:tbl>
      <w:tblPr>
        <w:tblStyle w:val="a7"/>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222945" w:rsidTr="00222945">
        <w:trPr>
          <w:jc w:val="center"/>
        </w:trPr>
        <w:tc>
          <w:tcPr>
            <w:tcW w:w="743" w:type="dxa"/>
            <w:hideMark/>
          </w:tcPr>
          <w:p w:rsidR="00222945" w:rsidRDefault="00222945">
            <w:pPr>
              <w:suppressLineNumbers/>
              <w:jc w:val="both"/>
              <w:rPr>
                <w:rFonts w:ascii="Arial" w:hAnsi="Arial"/>
                <w:b/>
                <w:bCs/>
                <w:rtl/>
              </w:rPr>
            </w:pPr>
            <w:r>
              <w:rPr>
                <w:rFonts w:ascii="Arial" w:hAnsi="Arial"/>
                <w:b/>
                <w:bCs/>
                <w:rtl/>
              </w:rPr>
              <w:t xml:space="preserve">לפני </w:t>
            </w:r>
          </w:p>
        </w:tc>
        <w:tc>
          <w:tcPr>
            <w:tcW w:w="8077" w:type="dxa"/>
            <w:gridSpan w:val="2"/>
          </w:tcPr>
          <w:p w:rsidR="00222945" w:rsidRDefault="00222945">
            <w:pPr>
              <w:suppressLineNumbers/>
              <w:rPr>
                <w:rFonts w:ascii="Arial" w:hAnsi="Arial"/>
                <w:b/>
                <w:bCs/>
                <w:rtl/>
              </w:rPr>
            </w:pPr>
            <w:r>
              <w:rPr>
                <w:rFonts w:ascii="Arial" w:hAnsi="Arial"/>
                <w:b/>
                <w:bCs/>
                <w:rtl/>
              </w:rPr>
              <w:t>כבוד ה</w:t>
            </w:r>
            <w:sdt>
              <w:sdtPr>
                <w:rPr>
                  <w:rtl/>
                </w:rPr>
                <w:alias w:val="1574"/>
                <w:tag w:val="1574"/>
                <w:id w:val="414602899"/>
                <w:text w:multiLine="1"/>
              </w:sdtPr>
              <w:sdtEndPr/>
              <w:sdtContent>
                <w:r>
                  <w:rPr>
                    <w:rFonts w:ascii="Arial" w:hAnsi="Arial"/>
                    <w:b/>
                    <w:bCs/>
                    <w:rtl/>
                  </w:rPr>
                  <w:t>שופט</w:t>
                </w:r>
              </w:sdtContent>
            </w:sdt>
            <w:r>
              <w:rPr>
                <w:rFonts w:ascii="Arial" w:hAnsi="Arial"/>
                <w:b/>
                <w:bCs/>
                <w:rtl/>
              </w:rPr>
              <w:t xml:space="preserve">  </w:t>
            </w:r>
            <w:sdt>
              <w:sdtPr>
                <w:rPr>
                  <w:rtl/>
                </w:rPr>
                <w:alias w:val="1573"/>
                <w:tag w:val="1573"/>
                <w:id w:val="-1751030614"/>
                <w:text w:multiLine="1"/>
              </w:sdtPr>
              <w:sdtEndPr/>
              <w:sdtContent>
                <w:r>
                  <w:rPr>
                    <w:rFonts w:ascii="Arial" w:hAnsi="Arial"/>
                    <w:b/>
                    <w:bCs/>
                    <w:rtl/>
                  </w:rPr>
                  <w:t>בן שלו</w:t>
                </w:r>
              </w:sdtContent>
            </w:sdt>
          </w:p>
          <w:p w:rsidR="00222945" w:rsidRDefault="00222945">
            <w:pPr>
              <w:suppressLineNumbers/>
              <w:rPr>
                <w:rFonts w:ascii="Arial" w:hAnsi="Arial" w:cs="FrankRuehl"/>
                <w:sz w:val="28"/>
                <w:szCs w:val="28"/>
                <w:highlight w:val="yellow"/>
                <w:rtl/>
              </w:rPr>
            </w:pPr>
          </w:p>
        </w:tc>
      </w:tr>
      <w:tr w:rsidR="00222945" w:rsidTr="00222945">
        <w:trPr>
          <w:jc w:val="center"/>
        </w:trPr>
        <w:tc>
          <w:tcPr>
            <w:tcW w:w="3249" w:type="dxa"/>
            <w:gridSpan w:val="2"/>
          </w:tcPr>
          <w:p w:rsidR="00222945" w:rsidRDefault="00222945">
            <w:pPr>
              <w:suppressLineNumbers/>
              <w:rPr>
                <w:rFonts w:ascii="Arial" w:hAnsi="Arial"/>
                <w:b/>
                <w:bCs/>
                <w:noProof w:val="0"/>
                <w:sz w:val="26"/>
                <w:szCs w:val="26"/>
              </w:rPr>
            </w:pPr>
          </w:p>
          <w:sdt>
            <w:sdtPr>
              <w:rPr>
                <w:rtl/>
              </w:rPr>
              <w:alias w:val="1180"/>
              <w:tag w:val="1180"/>
              <w:id w:val="637458750"/>
              <w:text w:multiLine="1"/>
            </w:sdtPr>
            <w:sdtEndPr/>
            <w:sdtContent>
              <w:p w:rsidR="00222945" w:rsidRDefault="00222945">
                <w:pPr>
                  <w:suppressLineNumbers/>
                  <w:rPr>
                    <w:rFonts w:ascii="Arial" w:hAnsi="Arial"/>
                    <w:b/>
                    <w:bCs/>
                    <w:noProof w:val="0"/>
                    <w:sz w:val="26"/>
                    <w:szCs w:val="26"/>
                  </w:rPr>
                </w:pPr>
                <w:r>
                  <w:rPr>
                    <w:rFonts w:ascii="Arial" w:hAnsi="Arial"/>
                    <w:b/>
                    <w:bCs/>
                    <w:noProof w:val="0"/>
                    <w:sz w:val="26"/>
                    <w:szCs w:val="26"/>
                    <w:rtl/>
                  </w:rPr>
                  <w:t>תובע (ונתבע)</w:t>
                </w:r>
              </w:p>
            </w:sdtContent>
          </w:sdt>
        </w:tc>
        <w:tc>
          <w:tcPr>
            <w:tcW w:w="5571" w:type="dxa"/>
          </w:tcPr>
          <w:p w:rsidR="00222945" w:rsidRDefault="00222945">
            <w:pPr>
              <w:suppressLineNumbers/>
              <w:rPr>
                <w:rFonts w:ascii="Arial" w:hAnsi="Arial"/>
                <w:b/>
                <w:bCs/>
                <w:noProof w:val="0"/>
                <w:sz w:val="26"/>
                <w:szCs w:val="26"/>
                <w:rtl/>
              </w:rPr>
            </w:pPr>
          </w:p>
          <w:p w:rsidR="00222945" w:rsidRDefault="002E3AFF" w:rsidP="00487F05">
            <w:pPr>
              <w:suppressLineNumbers/>
              <w:rPr>
                <w:rFonts w:ascii="Arial" w:hAnsi="Arial"/>
                <w:b/>
                <w:bCs/>
                <w:noProof w:val="0"/>
                <w:sz w:val="26"/>
                <w:szCs w:val="26"/>
                <w:rtl/>
              </w:rPr>
            </w:pPr>
            <w:sdt>
              <w:sdtPr>
                <w:rPr>
                  <w:rFonts w:ascii="Arial" w:hAnsi="Arial"/>
                  <w:b/>
                  <w:bCs/>
                  <w:noProof w:val="0"/>
                  <w:sz w:val="26"/>
                  <w:szCs w:val="26"/>
                  <w:rtl/>
                </w:rPr>
                <w:alias w:val="1478"/>
                <w:tag w:val="1478"/>
                <w:id w:val="-2076122985"/>
                <w:text w:multiLine="1"/>
              </w:sdtPr>
              <w:sdtEndPr/>
              <w:sdtContent>
                <w:r w:rsidR="00487F05">
                  <w:rPr>
                    <w:rFonts w:ascii="Arial" w:hAnsi="Arial" w:hint="cs"/>
                    <w:b/>
                    <w:bCs/>
                    <w:noProof w:val="0"/>
                    <w:sz w:val="26"/>
                    <w:szCs w:val="26"/>
                    <w:rtl/>
                  </w:rPr>
                  <w:t>ט'</w:t>
                </w:r>
                <w:r w:rsidR="003232CB">
                  <w:rPr>
                    <w:rFonts w:ascii="Arial" w:hAnsi="Arial" w:hint="cs"/>
                    <w:b/>
                    <w:bCs/>
                    <w:noProof w:val="0"/>
                    <w:sz w:val="26"/>
                    <w:szCs w:val="26"/>
                    <w:rtl/>
                  </w:rPr>
                  <w:t xml:space="preserve"> </w:t>
                </w:r>
              </w:sdtContent>
            </w:sdt>
            <w:r w:rsidR="00222945">
              <w:rPr>
                <w:rFonts w:ascii="Arial" w:hAnsi="Arial"/>
                <w:b/>
                <w:bCs/>
                <w:noProof w:val="0"/>
                <w:sz w:val="26"/>
                <w:szCs w:val="26"/>
                <w:rtl/>
              </w:rPr>
              <w:t xml:space="preserve"> </w:t>
            </w:r>
            <w:sdt>
              <w:sdtPr>
                <w:rPr>
                  <w:rFonts w:ascii="Arial" w:hAnsi="Arial"/>
                  <w:b/>
                  <w:bCs/>
                  <w:noProof w:val="0"/>
                  <w:sz w:val="26"/>
                  <w:szCs w:val="26"/>
                  <w:rtl/>
                </w:rPr>
                <w:alias w:val="2315"/>
                <w:tag w:val="2315"/>
                <w:id w:val="185342525"/>
                <w:placeholder>
                  <w:docPart w:val="45765043F56E4FDA9C27D458CFA85CF5"/>
                </w:placeholder>
                <w:text w:multiLine="1"/>
              </w:sdtPr>
              <w:sdtEndPr/>
              <w:sdtContent>
                <w:r w:rsidR="00222945">
                  <w:rPr>
                    <w:rFonts w:ascii="Arial" w:hAnsi="Arial"/>
                    <w:b/>
                    <w:bCs/>
                    <w:noProof w:val="0"/>
                    <w:sz w:val="26"/>
                    <w:szCs w:val="26"/>
                    <w:rtl/>
                  </w:rPr>
                  <w:t>ת"ז</w:t>
                </w:r>
              </w:sdtContent>
            </w:sdt>
            <w:r w:rsidR="00222945">
              <w:rPr>
                <w:rFonts w:ascii="Arial" w:hAnsi="Arial"/>
                <w:b/>
                <w:bCs/>
                <w:noProof w:val="0"/>
                <w:sz w:val="26"/>
                <w:szCs w:val="26"/>
                <w:rtl/>
              </w:rPr>
              <w:t xml:space="preserve">  </w:t>
            </w:r>
            <w:r w:rsidR="003232CB">
              <w:rPr>
                <w:rFonts w:ascii="Arial" w:hAnsi="Arial" w:hint="cs"/>
                <w:b/>
                <w:bCs/>
                <w:noProof w:val="0"/>
                <w:sz w:val="26"/>
                <w:szCs w:val="26"/>
              </w:rPr>
              <w:t>X</w:t>
            </w:r>
            <w:r w:rsidR="003232CB">
              <w:rPr>
                <w:rFonts w:ascii="Arial" w:hAnsi="Arial"/>
                <w:b/>
                <w:bCs/>
                <w:noProof w:val="0"/>
                <w:sz w:val="26"/>
                <w:szCs w:val="26"/>
              </w:rPr>
              <w:t>XX</w:t>
            </w:r>
          </w:p>
          <w:p w:rsidR="00222945" w:rsidRDefault="00222945">
            <w:pPr>
              <w:suppressLineNumbers/>
              <w:rPr>
                <w:b/>
                <w:bCs/>
                <w:noProof w:val="0"/>
                <w:rtl/>
              </w:rPr>
            </w:pPr>
            <w:r>
              <w:rPr>
                <w:b/>
                <w:bCs/>
                <w:noProof w:val="0"/>
                <w:rtl/>
              </w:rPr>
              <w:t>באמצעות ב"כ עו"ד שרית ישר</w:t>
            </w:r>
          </w:p>
        </w:tc>
      </w:tr>
      <w:tr w:rsidR="00222945" w:rsidTr="00222945">
        <w:trPr>
          <w:jc w:val="center"/>
        </w:trPr>
        <w:tc>
          <w:tcPr>
            <w:tcW w:w="8820" w:type="dxa"/>
            <w:gridSpan w:val="3"/>
          </w:tcPr>
          <w:p w:rsidR="00222945" w:rsidRDefault="00222945">
            <w:pPr>
              <w:suppressLineNumbers/>
              <w:rPr>
                <w:rFonts w:ascii="Arial" w:hAnsi="Arial"/>
                <w:b/>
                <w:bCs/>
                <w:noProof w:val="0"/>
                <w:sz w:val="26"/>
                <w:szCs w:val="26"/>
              </w:rPr>
            </w:pPr>
          </w:p>
          <w:p w:rsidR="00222945" w:rsidRDefault="00222945">
            <w:pPr>
              <w:suppressLineNumbers/>
              <w:jc w:val="center"/>
              <w:rPr>
                <w:rFonts w:ascii="Arial" w:hAnsi="Arial"/>
                <w:b/>
                <w:bCs/>
                <w:noProof w:val="0"/>
                <w:sz w:val="26"/>
                <w:szCs w:val="26"/>
                <w:rtl/>
              </w:rPr>
            </w:pPr>
            <w:r>
              <w:rPr>
                <w:rFonts w:ascii="Arial" w:hAnsi="Arial"/>
                <w:b/>
                <w:bCs/>
                <w:noProof w:val="0"/>
                <w:sz w:val="26"/>
                <w:szCs w:val="26"/>
                <w:rtl/>
              </w:rPr>
              <w:t>נגד</w:t>
            </w:r>
          </w:p>
          <w:p w:rsidR="00222945" w:rsidRDefault="00222945">
            <w:pPr>
              <w:suppressLineNumbers/>
              <w:rPr>
                <w:rFonts w:ascii="Arial" w:hAnsi="Arial"/>
                <w:b/>
                <w:bCs/>
                <w:noProof w:val="0"/>
                <w:sz w:val="26"/>
                <w:szCs w:val="26"/>
                <w:rtl/>
              </w:rPr>
            </w:pPr>
          </w:p>
        </w:tc>
      </w:tr>
      <w:tr w:rsidR="00222945" w:rsidTr="00222945">
        <w:trPr>
          <w:jc w:val="center"/>
        </w:trPr>
        <w:tc>
          <w:tcPr>
            <w:tcW w:w="3249" w:type="dxa"/>
            <w:gridSpan w:val="2"/>
            <w:hideMark/>
          </w:tcPr>
          <w:p w:rsidR="00222945" w:rsidRDefault="002E3AFF">
            <w:pPr>
              <w:suppressLineNumbers/>
              <w:rPr>
                <w:rFonts w:ascii="Arial" w:hAnsi="Arial"/>
                <w:b/>
                <w:bCs/>
                <w:noProof w:val="0"/>
                <w:sz w:val="26"/>
                <w:szCs w:val="26"/>
              </w:rPr>
            </w:pPr>
            <w:sdt>
              <w:sdtPr>
                <w:rPr>
                  <w:b/>
                  <w:bCs/>
                  <w:rtl/>
                </w:rPr>
                <w:alias w:val="1184"/>
                <w:tag w:val="1184"/>
                <w:id w:val="-340621022"/>
                <w:text w:multiLine="1"/>
              </w:sdtPr>
              <w:sdtEndPr/>
              <w:sdtContent>
                <w:r w:rsidR="00222945">
                  <w:rPr>
                    <w:rFonts w:ascii="Arial" w:hAnsi="Arial"/>
                    <w:b/>
                    <w:bCs/>
                    <w:noProof w:val="0"/>
                    <w:sz w:val="26"/>
                    <w:szCs w:val="26"/>
                    <w:rtl/>
                  </w:rPr>
                  <w:t>נתבעת</w:t>
                </w:r>
                <w:r w:rsidR="00222945">
                  <w:rPr>
                    <w:b/>
                    <w:bCs/>
                    <w:rtl/>
                  </w:rPr>
                  <w:t xml:space="preserve"> (ותובעת)</w:t>
                </w:r>
              </w:sdtContent>
            </w:sdt>
          </w:p>
        </w:tc>
        <w:tc>
          <w:tcPr>
            <w:tcW w:w="5571" w:type="dxa"/>
          </w:tcPr>
          <w:p w:rsidR="00222945" w:rsidRDefault="002E3AFF" w:rsidP="00487F05">
            <w:pPr>
              <w:suppressLineNumbers/>
              <w:rPr>
                <w:rFonts w:ascii="Arial" w:hAnsi="Arial"/>
                <w:b/>
                <w:bCs/>
                <w:noProof w:val="0"/>
                <w:sz w:val="26"/>
                <w:szCs w:val="26"/>
              </w:rPr>
            </w:pPr>
            <w:sdt>
              <w:sdtPr>
                <w:rPr>
                  <w:rtl/>
                </w:rPr>
                <w:alias w:val="1486"/>
                <w:tag w:val="1486"/>
                <w:id w:val="-309872140"/>
                <w:text w:multiLine="1"/>
              </w:sdtPr>
              <w:sdtEndPr/>
              <w:sdtContent>
                <w:r w:rsidR="00487F05">
                  <w:rPr>
                    <w:rFonts w:ascii="Arial" w:hAnsi="Arial" w:hint="cs"/>
                    <w:b/>
                    <w:bCs/>
                    <w:noProof w:val="0"/>
                    <w:sz w:val="26"/>
                    <w:szCs w:val="26"/>
                    <w:rtl/>
                  </w:rPr>
                  <w:t>א'</w:t>
                </w:r>
              </w:sdtContent>
            </w:sdt>
            <w:r w:rsidR="00222945">
              <w:rPr>
                <w:rtl/>
              </w:rPr>
              <w:t xml:space="preserve"> </w:t>
            </w:r>
            <w:sdt>
              <w:sdtPr>
                <w:rPr>
                  <w:rFonts w:ascii="Arial" w:hAnsi="Arial"/>
                  <w:b/>
                  <w:bCs/>
                  <w:noProof w:val="0"/>
                  <w:sz w:val="26"/>
                  <w:szCs w:val="26"/>
                  <w:rtl/>
                </w:rPr>
                <w:alias w:val="2317"/>
                <w:tag w:val="2317"/>
                <w:id w:val="266818274"/>
                <w:placeholder>
                  <w:docPart w:val="3C47470B49D541A98CC241A4FB92E846"/>
                </w:placeholder>
                <w:text w:multiLine="1"/>
              </w:sdtPr>
              <w:sdtEndPr/>
              <w:sdtContent>
                <w:r w:rsidR="00222945">
                  <w:rPr>
                    <w:rFonts w:ascii="Arial" w:hAnsi="Arial"/>
                    <w:b/>
                    <w:bCs/>
                    <w:noProof w:val="0"/>
                    <w:sz w:val="26"/>
                    <w:szCs w:val="26"/>
                    <w:rtl/>
                  </w:rPr>
                  <w:t>ת"ז</w:t>
                </w:r>
              </w:sdtContent>
            </w:sdt>
            <w:r w:rsidR="00222945">
              <w:rPr>
                <w:rFonts w:ascii="Arial" w:hAnsi="Arial"/>
                <w:b/>
                <w:bCs/>
                <w:noProof w:val="0"/>
                <w:sz w:val="26"/>
                <w:szCs w:val="26"/>
                <w:rtl/>
              </w:rPr>
              <w:t xml:space="preserve"> </w:t>
            </w:r>
            <w:r w:rsidR="003232CB">
              <w:rPr>
                <w:rFonts w:ascii="Arial" w:hAnsi="Arial" w:hint="cs"/>
                <w:b/>
                <w:bCs/>
                <w:noProof w:val="0"/>
                <w:sz w:val="26"/>
                <w:szCs w:val="26"/>
              </w:rPr>
              <w:t>XXX</w:t>
            </w:r>
          </w:p>
          <w:p w:rsidR="00222945" w:rsidRDefault="00222945">
            <w:pPr>
              <w:suppressLineNumbers/>
              <w:rPr>
                <w:rFonts w:ascii="Arial" w:hAnsi="Arial"/>
                <w:b/>
                <w:bCs/>
                <w:noProof w:val="0"/>
                <w:rtl/>
              </w:rPr>
            </w:pPr>
            <w:r>
              <w:rPr>
                <w:rFonts w:ascii="Arial" w:hAnsi="Arial"/>
                <w:b/>
                <w:bCs/>
                <w:noProof w:val="0"/>
                <w:rtl/>
              </w:rPr>
              <w:t>באמצעות ב"כ עו"ד אביטל אדרי</w:t>
            </w:r>
          </w:p>
          <w:p w:rsidR="00222945" w:rsidRDefault="00222945">
            <w:pPr>
              <w:suppressLineNumbers/>
              <w:rPr>
                <w:b/>
                <w:bCs/>
                <w:noProof w:val="0"/>
                <w:sz w:val="26"/>
                <w:szCs w:val="26"/>
                <w:rtl/>
              </w:rPr>
            </w:pPr>
          </w:p>
        </w:tc>
      </w:tr>
      <w:tr w:rsidR="00222945" w:rsidTr="00222945">
        <w:trPr>
          <w:jc w:val="center"/>
        </w:trPr>
        <w:tc>
          <w:tcPr>
            <w:tcW w:w="8820" w:type="dxa"/>
            <w:gridSpan w:val="3"/>
          </w:tcPr>
          <w:p w:rsidR="00222945" w:rsidRDefault="00222945">
            <w:pPr>
              <w:suppressLineNumbers/>
              <w:rPr>
                <w:rtl/>
              </w:rPr>
            </w:pPr>
          </w:p>
        </w:tc>
      </w:tr>
      <w:tr w:rsidR="00222945" w:rsidTr="00222945">
        <w:trPr>
          <w:jc w:val="center"/>
        </w:trPr>
        <w:tc>
          <w:tcPr>
            <w:tcW w:w="8820" w:type="dxa"/>
            <w:gridSpan w:val="3"/>
          </w:tcPr>
          <w:p w:rsidR="00222945" w:rsidRDefault="00222945">
            <w:pPr>
              <w:suppressLineNumbers/>
              <w:rPr>
                <w:b/>
                <w:bCs/>
                <w:rtl/>
              </w:rPr>
            </w:pPr>
          </w:p>
          <w:p w:rsidR="00222945" w:rsidRDefault="003232CB" w:rsidP="003232CB">
            <w:pPr>
              <w:suppressLineNumbers/>
              <w:rPr>
                <w:b/>
                <w:bCs/>
              </w:rPr>
            </w:pPr>
            <w:r>
              <w:rPr>
                <w:b/>
                <w:bCs/>
                <w:rtl/>
              </w:rPr>
              <w:t>ובעניין הקטינים:</w:t>
            </w:r>
            <w:r>
              <w:rPr>
                <w:rFonts w:hint="cs"/>
                <w:b/>
                <w:bCs/>
              </w:rPr>
              <w:t xml:space="preserve"> </w:t>
            </w:r>
            <w:r w:rsidR="00487F05">
              <w:rPr>
                <w:rFonts w:hint="cs"/>
                <w:b/>
                <w:bCs/>
                <w:rtl/>
              </w:rPr>
              <w:t>מ</w:t>
            </w:r>
            <w:r>
              <w:rPr>
                <w:rFonts w:hint="cs"/>
                <w:b/>
                <w:bCs/>
                <w:rtl/>
              </w:rPr>
              <w:t xml:space="preserve">' </w:t>
            </w:r>
            <w:r w:rsidR="00222945">
              <w:rPr>
                <w:b/>
                <w:bCs/>
                <w:rtl/>
              </w:rPr>
              <w:t>ילידת 25.</w:t>
            </w:r>
            <w:r>
              <w:rPr>
                <w:rFonts w:hint="cs"/>
                <w:b/>
                <w:bCs/>
              </w:rPr>
              <w:t>X</w:t>
            </w:r>
            <w:r w:rsidR="00222945">
              <w:rPr>
                <w:b/>
                <w:bCs/>
                <w:rtl/>
              </w:rPr>
              <w:t>.</w:t>
            </w:r>
            <w:r>
              <w:rPr>
                <w:rFonts w:hint="cs"/>
                <w:b/>
                <w:bCs/>
              </w:rPr>
              <w:t>X</w:t>
            </w:r>
          </w:p>
          <w:p w:rsidR="00222945" w:rsidRDefault="00222945" w:rsidP="00487F05">
            <w:pPr>
              <w:suppressLineNumbers/>
              <w:rPr>
                <w:b/>
                <w:bCs/>
                <w:rtl/>
              </w:rPr>
            </w:pPr>
            <w:r>
              <w:rPr>
                <w:b/>
                <w:bCs/>
                <w:rtl/>
              </w:rPr>
              <w:t xml:space="preserve">                           </w:t>
            </w:r>
            <w:r w:rsidR="003232CB">
              <w:rPr>
                <w:rFonts w:hint="cs"/>
                <w:b/>
                <w:bCs/>
                <w:rtl/>
              </w:rPr>
              <w:t xml:space="preserve">   </w:t>
            </w:r>
            <w:r w:rsidR="00487F05">
              <w:rPr>
                <w:rFonts w:hint="cs"/>
                <w:b/>
                <w:bCs/>
                <w:rtl/>
              </w:rPr>
              <w:t>א'</w:t>
            </w:r>
            <w:r>
              <w:rPr>
                <w:b/>
                <w:bCs/>
                <w:rtl/>
              </w:rPr>
              <w:t xml:space="preserve"> יליד 24.</w:t>
            </w:r>
            <w:r w:rsidR="003232CB">
              <w:rPr>
                <w:rFonts w:hint="cs"/>
                <w:b/>
                <w:bCs/>
              </w:rPr>
              <w:t>X</w:t>
            </w:r>
            <w:r>
              <w:rPr>
                <w:b/>
                <w:bCs/>
                <w:rtl/>
              </w:rPr>
              <w:t>.</w:t>
            </w:r>
            <w:r w:rsidR="003232CB">
              <w:rPr>
                <w:rFonts w:hint="cs"/>
                <w:b/>
                <w:bCs/>
              </w:rPr>
              <w:t>X</w:t>
            </w:r>
          </w:p>
          <w:p w:rsidR="00222945" w:rsidRDefault="00487F05" w:rsidP="003232CB">
            <w:pPr>
              <w:suppressLineNumbers/>
              <w:rPr>
                <w:b/>
                <w:bCs/>
              </w:rPr>
            </w:pPr>
            <w:r>
              <w:rPr>
                <w:rFonts w:hint="cs"/>
                <w:b/>
                <w:bCs/>
                <w:rtl/>
              </w:rPr>
              <w:t xml:space="preserve">                              ס'</w:t>
            </w:r>
            <w:r w:rsidR="00222945">
              <w:rPr>
                <w:b/>
                <w:bCs/>
                <w:rtl/>
              </w:rPr>
              <w:t xml:space="preserve"> ילידת 24.</w:t>
            </w:r>
            <w:r w:rsidR="003232CB">
              <w:rPr>
                <w:rFonts w:hint="cs"/>
                <w:b/>
                <w:bCs/>
              </w:rPr>
              <w:t>X</w:t>
            </w:r>
            <w:r w:rsidR="00222945">
              <w:rPr>
                <w:b/>
                <w:bCs/>
                <w:rtl/>
              </w:rPr>
              <w:t>.</w:t>
            </w:r>
            <w:r w:rsidR="003232CB">
              <w:rPr>
                <w:rFonts w:hint="cs"/>
                <w:b/>
                <w:bCs/>
              </w:rPr>
              <w:t>X</w:t>
            </w:r>
          </w:p>
          <w:p w:rsidR="00222945" w:rsidRDefault="00222945">
            <w:pPr>
              <w:suppressLineNumbers/>
              <w:rPr>
                <w:rtl/>
              </w:rPr>
            </w:pPr>
            <w:r>
              <w:rPr>
                <w:b/>
                <w:bCs/>
                <w:rtl/>
              </w:rPr>
              <w:t xml:space="preserve">                            באמצעות האפוטרופא לדין עו"ד נטע ממן</w:t>
            </w:r>
          </w:p>
        </w:tc>
      </w:tr>
      <w:tr w:rsidR="00222945" w:rsidTr="00222945">
        <w:trPr>
          <w:jc w:val="center"/>
        </w:trPr>
        <w:tc>
          <w:tcPr>
            <w:tcW w:w="3249" w:type="dxa"/>
            <w:gridSpan w:val="2"/>
            <w:hideMark/>
          </w:tcPr>
          <w:p w:rsidR="00222945" w:rsidRDefault="00222945">
            <w:pPr>
              <w:rPr>
                <w:rFonts w:ascii="David" w:eastAsia="David" w:hAnsi="David"/>
                <w:noProof w:val="0"/>
                <w:rtl/>
              </w:rPr>
            </w:pPr>
            <w:r>
              <w:rPr>
                <w:rFonts w:ascii="David" w:eastAsia="David" w:hAnsi="David"/>
                <w:noProof w:val="0"/>
                <w:rtl/>
              </w:rPr>
              <w:t xml:space="preserve">                            </w:t>
            </w:r>
          </w:p>
        </w:tc>
        <w:tc>
          <w:tcPr>
            <w:tcW w:w="5571" w:type="dxa"/>
          </w:tcPr>
          <w:p w:rsidR="00222945" w:rsidRDefault="00222945">
            <w:pPr>
              <w:rPr>
                <w:b/>
                <w:bCs/>
                <w:sz w:val="26"/>
                <w:szCs w:val="26"/>
                <w:rtl/>
              </w:rPr>
            </w:pPr>
          </w:p>
        </w:tc>
      </w:tr>
      <w:tr w:rsidR="00222945" w:rsidTr="00222945">
        <w:trPr>
          <w:jc w:val="center"/>
        </w:trPr>
        <w:tc>
          <w:tcPr>
            <w:tcW w:w="8820" w:type="dxa"/>
            <w:gridSpan w:val="3"/>
          </w:tcPr>
          <w:p w:rsidR="00222945" w:rsidRDefault="00222945">
            <w:pPr>
              <w:suppressLineNumbers/>
              <w:rPr>
                <w:rFonts w:ascii="Arial" w:hAnsi="Arial"/>
                <w:b/>
                <w:bCs/>
                <w:noProof w:val="0"/>
                <w:sz w:val="26"/>
                <w:szCs w:val="26"/>
                <w:rtl/>
              </w:rPr>
            </w:pPr>
          </w:p>
        </w:tc>
      </w:tr>
    </w:tbl>
    <w:p w:rsidR="00222945" w:rsidRDefault="00222945" w:rsidP="00222945">
      <w:pPr>
        <w:suppressLineNumbers/>
      </w:pPr>
    </w:p>
    <w:tbl>
      <w:tblPr>
        <w:tblStyle w:val="a7"/>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222945" w:rsidTr="00222945">
        <w:trPr>
          <w:jc w:val="center"/>
        </w:trPr>
        <w:tc>
          <w:tcPr>
            <w:tcW w:w="8820" w:type="dxa"/>
          </w:tcPr>
          <w:p w:rsidR="00222945" w:rsidRDefault="00222945">
            <w:pPr>
              <w:bidi w:val="0"/>
              <w:jc w:val="center"/>
              <w:rPr>
                <w:rFonts w:ascii="Arial" w:hAnsi="Arial"/>
                <w:b/>
                <w:bCs/>
                <w:noProof w:val="0"/>
                <w:sz w:val="28"/>
                <w:szCs w:val="28"/>
                <w:u w:val="single"/>
              </w:rPr>
            </w:pPr>
            <w:r>
              <w:rPr>
                <w:rFonts w:ascii="Arial" w:hAnsi="Arial"/>
                <w:b/>
                <w:bCs/>
                <w:noProof w:val="0"/>
                <w:sz w:val="28"/>
                <w:szCs w:val="28"/>
                <w:u w:val="single"/>
                <w:rtl/>
              </w:rPr>
              <w:t>החלטה</w:t>
            </w:r>
          </w:p>
          <w:p w:rsidR="00222945" w:rsidRDefault="00222945">
            <w:pPr>
              <w:bidi w:val="0"/>
              <w:jc w:val="center"/>
              <w:rPr>
                <w:rFonts w:ascii="Arial" w:hAnsi="Arial"/>
                <w:b/>
                <w:bCs/>
                <w:noProof w:val="0"/>
                <w:sz w:val="28"/>
                <w:szCs w:val="28"/>
                <w:u w:val="single"/>
                <w:rtl/>
              </w:rPr>
            </w:pPr>
          </w:p>
        </w:tc>
      </w:tr>
    </w:tbl>
    <w:p w:rsidR="00222945" w:rsidRDefault="00222945" w:rsidP="00222945">
      <w:pPr>
        <w:spacing w:line="360" w:lineRule="auto"/>
        <w:jc w:val="both"/>
        <w:rPr>
          <w:rFonts w:ascii="Arial" w:hAnsi="Arial"/>
          <w:noProof w:val="0"/>
          <w:rtl/>
        </w:rPr>
      </w:pPr>
      <w:bookmarkStart w:id="1" w:name="NGCSBookmark"/>
      <w:bookmarkEnd w:id="1"/>
      <w:r>
        <w:rPr>
          <w:rFonts w:ascii="Arial" w:hAnsi="Arial"/>
          <w:noProof w:val="0"/>
          <w:rtl/>
        </w:rPr>
        <w:t>החלטה זו ניתנת בראייה כוללת של בחינת תוחלת המשך ניהול שני ההליכים שבכותרת. הראשון שבהם, תובענה  שהגיש האב בתחום האחריות ההורית למשמורת משותפת וזמני שהות ;</w:t>
      </w:r>
      <w:r>
        <w:rPr>
          <w:rFonts w:ascii="Arial" w:hAnsi="Arial"/>
          <w:noProof w:val="0"/>
        </w:rPr>
        <w:t xml:space="preserve"> </w:t>
      </w:r>
      <w:r>
        <w:rPr>
          <w:rFonts w:ascii="Arial" w:hAnsi="Arial"/>
          <w:noProof w:val="0"/>
          <w:rtl/>
        </w:rPr>
        <w:t xml:space="preserve">השני, תובענה למזונות קטינים שהגישה האם. כל אלה, עת ברקע נתק מתמשך בין האב ובין הקטינים, שמקורותיו וקורותיו הלכו והתבררו ככל שהתמשך ניהול ההליכים. </w:t>
      </w:r>
    </w:p>
    <w:p w:rsidR="00222945" w:rsidRDefault="00222945" w:rsidP="00222945">
      <w:pPr>
        <w:spacing w:line="360" w:lineRule="auto"/>
        <w:jc w:val="both"/>
        <w:rPr>
          <w:rFonts w:ascii="Arial" w:hAnsi="Arial"/>
          <w:noProof w:val="0"/>
          <w:rtl/>
        </w:rPr>
      </w:pPr>
    </w:p>
    <w:p w:rsidR="00222945" w:rsidRDefault="00222945" w:rsidP="00222945">
      <w:pPr>
        <w:pStyle w:val="ac"/>
        <w:numPr>
          <w:ilvl w:val="0"/>
          <w:numId w:val="6"/>
        </w:numPr>
        <w:spacing w:line="360" w:lineRule="auto"/>
        <w:ind w:left="360"/>
        <w:jc w:val="both"/>
        <w:rPr>
          <w:rFonts w:ascii="Arial" w:hAnsi="Arial"/>
          <w:noProof w:val="0"/>
        </w:rPr>
      </w:pPr>
      <w:r>
        <w:rPr>
          <w:rFonts w:ascii="Arial" w:hAnsi="Arial"/>
          <w:noProof w:val="0"/>
          <w:rtl/>
        </w:rPr>
        <w:t xml:space="preserve">החלטה אחרונה, מרכזית ומפורטת,  ניתנה בתלה"מ 54830-03-21 ביום 8.9.24. אף שאמנם אין צורך של ממש לשוב על  ההשתלשלות העובדתית של  הדברים, יש הצדקה לשוב ולהביע דאגה לקטינים הניצבים במוקד ההליכים ; קטינים, שלמרבה הצער אין הטבה במצבם, וקשר בינם לבין אביהם - אין. </w:t>
      </w:r>
    </w:p>
    <w:p w:rsidR="00222945" w:rsidRDefault="00222945" w:rsidP="00222945">
      <w:pPr>
        <w:pStyle w:val="ac"/>
        <w:rPr>
          <w:rFonts w:ascii="Arial" w:hAnsi="Arial"/>
          <w:noProof w:val="0"/>
          <w:rtl/>
        </w:rPr>
      </w:pPr>
    </w:p>
    <w:p w:rsidR="00222945" w:rsidRDefault="00222945" w:rsidP="00177C90">
      <w:pPr>
        <w:pStyle w:val="ac"/>
        <w:numPr>
          <w:ilvl w:val="0"/>
          <w:numId w:val="6"/>
        </w:numPr>
        <w:spacing w:line="360" w:lineRule="auto"/>
        <w:ind w:left="360"/>
        <w:jc w:val="both"/>
        <w:rPr>
          <w:rFonts w:ascii="Arial" w:hAnsi="Arial"/>
          <w:noProof w:val="0"/>
        </w:rPr>
      </w:pPr>
      <w:r>
        <w:rPr>
          <w:rFonts w:ascii="Arial" w:hAnsi="Arial"/>
          <w:noProof w:val="0"/>
          <w:rtl/>
        </w:rPr>
        <w:t xml:space="preserve">גורמי טיפול ורווחה היו מעורבים בעניינם של הקטינים לרבות מרכז הורים וילדים (ראו: דיווח המרכז שהוגש ביום 22.12.22). כן מונו גורמי טיפול מהמגזר הפרטי שהתחלפו (ראו: החלטתי מיום 3.1.23 למינוי ד"ר </w:t>
      </w:r>
      <w:r w:rsidR="00177C90">
        <w:rPr>
          <w:rFonts w:ascii="Arial" w:hAnsi="Arial" w:hint="cs"/>
          <w:noProof w:val="0"/>
        </w:rPr>
        <w:t>X</w:t>
      </w:r>
      <w:r>
        <w:rPr>
          <w:rFonts w:ascii="Arial" w:hAnsi="Arial"/>
          <w:noProof w:val="0"/>
          <w:rtl/>
        </w:rPr>
        <w:t xml:space="preserve">; והחלטות מיום 6.3.23 ומיום 15.6.23 למינוי המטפלת הגב' </w:t>
      </w:r>
      <w:r w:rsidR="00177C90">
        <w:rPr>
          <w:rFonts w:ascii="Arial" w:hAnsi="Arial" w:hint="cs"/>
          <w:noProof w:val="0"/>
        </w:rPr>
        <w:t>Y</w:t>
      </w:r>
      <w:r>
        <w:rPr>
          <w:rFonts w:ascii="Arial" w:hAnsi="Arial"/>
          <w:noProof w:val="0"/>
          <w:rtl/>
        </w:rPr>
        <w:t xml:space="preserve">). זאת, עד למינויה של המטפלת הנוכחית, הגב' </w:t>
      </w:r>
      <w:r w:rsidR="00177C90">
        <w:rPr>
          <w:rFonts w:ascii="Arial" w:hAnsi="Arial" w:hint="cs"/>
          <w:noProof w:val="0"/>
        </w:rPr>
        <w:t>Z</w:t>
      </w:r>
      <w:r>
        <w:rPr>
          <w:rFonts w:ascii="Arial" w:hAnsi="Arial"/>
          <w:noProof w:val="0"/>
          <w:rtl/>
        </w:rPr>
        <w:t xml:space="preserve"> בהחלטה מיום 11.1.24.  </w:t>
      </w:r>
    </w:p>
    <w:p w:rsidR="00222945" w:rsidRDefault="00222945" w:rsidP="00222945">
      <w:pPr>
        <w:pStyle w:val="ac"/>
        <w:rPr>
          <w:rFonts w:ascii="Arial" w:hAnsi="Arial"/>
          <w:noProof w:val="0"/>
        </w:rPr>
      </w:pPr>
    </w:p>
    <w:p w:rsidR="00222945" w:rsidRDefault="00222945" w:rsidP="00222945">
      <w:pPr>
        <w:pStyle w:val="ac"/>
        <w:spacing w:line="360" w:lineRule="auto"/>
        <w:ind w:left="360"/>
        <w:jc w:val="both"/>
        <w:rPr>
          <w:rFonts w:ascii="Arial" w:hAnsi="Arial"/>
          <w:noProof w:val="0"/>
        </w:rPr>
      </w:pPr>
      <w:r>
        <w:rPr>
          <w:rFonts w:ascii="Arial" w:hAnsi="Arial"/>
          <w:noProof w:val="0"/>
          <w:rtl/>
        </w:rPr>
        <w:lastRenderedPageBreak/>
        <w:t>כך גם ניתנו החלטות אופרטיביות שנועדו ליצור מסגרת מחייבת לתהליך טיפולי עקבי לרבות בדרך של נקיטה בצעדי אכיפה כספיים (ראו: החלטות מרכזיות קודמות מיום 15.6.23 ומיום 14.9.23).</w:t>
      </w:r>
    </w:p>
    <w:p w:rsidR="00222945" w:rsidRDefault="00222945" w:rsidP="00222945">
      <w:pPr>
        <w:pStyle w:val="ac"/>
        <w:rPr>
          <w:rFonts w:ascii="Arial" w:hAnsi="Arial"/>
          <w:noProof w:val="0"/>
          <w:rtl/>
        </w:rPr>
      </w:pPr>
    </w:p>
    <w:p w:rsidR="00222945" w:rsidRDefault="00222945" w:rsidP="00222945">
      <w:pPr>
        <w:pStyle w:val="ac"/>
        <w:spacing w:line="360" w:lineRule="auto"/>
        <w:ind w:left="360"/>
        <w:jc w:val="both"/>
        <w:rPr>
          <w:rFonts w:ascii="Arial" w:hAnsi="Arial"/>
          <w:noProof w:val="0"/>
        </w:rPr>
      </w:pPr>
      <w:r>
        <w:rPr>
          <w:rFonts w:ascii="Arial" w:hAnsi="Arial"/>
          <w:noProof w:val="0"/>
          <w:rtl/>
        </w:rPr>
        <w:t xml:space="preserve">כל אלה לא הועילו.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r>
        <w:rPr>
          <w:rFonts w:ascii="Arial" w:hAnsi="Arial"/>
          <w:noProof w:val="0"/>
          <w:rtl/>
        </w:rPr>
        <w:t>הקטינים מצויים בנתק מהאב מראשית שנת 2022 וניסיונות לייצר בחדר הטיפולים מרחב לחידוש קשר, לרבות בשילוב התערבות סמכותית, לא צלחו (</w:t>
      </w:r>
      <w:r w:rsidR="00177C90">
        <w:rPr>
          <w:rFonts w:ascii="Arial" w:hAnsi="Arial"/>
          <w:noProof w:val="0"/>
          <w:rtl/>
        </w:rPr>
        <w:t xml:space="preserve">ראו: עדכונים של המטפלת הגב' </w:t>
      </w:r>
      <w:r w:rsidR="00177C90">
        <w:rPr>
          <w:rFonts w:ascii="Arial" w:hAnsi="Arial" w:hint="cs"/>
          <w:noProof w:val="0"/>
        </w:rPr>
        <w:t>Z</w:t>
      </w:r>
      <w:r>
        <w:rPr>
          <w:rFonts w:ascii="Arial" w:hAnsi="Arial"/>
          <w:noProof w:val="0"/>
          <w:rtl/>
        </w:rPr>
        <w:t xml:space="preserve"> מיום 5.6.24 ומיום 18.6.24). </w:t>
      </w:r>
    </w:p>
    <w:p w:rsidR="00222945" w:rsidRDefault="00222945" w:rsidP="00222945">
      <w:pPr>
        <w:rPr>
          <w:rFonts w:ascii="Arial" w:hAnsi="Arial"/>
          <w:noProof w:val="0"/>
          <w:rtl/>
        </w:rPr>
      </w:pPr>
    </w:p>
    <w:p w:rsidR="00222945" w:rsidRDefault="00222945" w:rsidP="00222945">
      <w:pPr>
        <w:pStyle w:val="ac"/>
        <w:numPr>
          <w:ilvl w:val="0"/>
          <w:numId w:val="6"/>
        </w:numPr>
        <w:spacing w:line="360" w:lineRule="auto"/>
        <w:ind w:left="360"/>
        <w:jc w:val="both"/>
        <w:rPr>
          <w:rFonts w:ascii="Arial" w:hAnsi="Arial"/>
          <w:noProof w:val="0"/>
          <w:rtl/>
        </w:rPr>
      </w:pPr>
      <w:r>
        <w:rPr>
          <w:rFonts w:ascii="Arial" w:hAnsi="Arial"/>
          <w:noProof w:val="0"/>
          <w:rtl/>
        </w:rPr>
        <w:t xml:space="preserve">ההורים שניהם מצויים עתה בהליכי חדלות פירעון. </w:t>
      </w:r>
    </w:p>
    <w:p w:rsidR="00222945" w:rsidRDefault="00222945" w:rsidP="00222945">
      <w:pPr>
        <w:pStyle w:val="ac"/>
        <w:spacing w:line="360" w:lineRule="auto"/>
        <w:ind w:left="360"/>
        <w:jc w:val="both"/>
        <w:rPr>
          <w:rFonts w:ascii="Arial" w:hAnsi="Arial"/>
          <w:noProof w:val="0"/>
        </w:rPr>
      </w:pPr>
    </w:p>
    <w:p w:rsidR="00222945" w:rsidRDefault="00222945" w:rsidP="00222945">
      <w:pPr>
        <w:pStyle w:val="ac"/>
        <w:spacing w:line="360" w:lineRule="auto"/>
        <w:ind w:left="360"/>
        <w:jc w:val="both"/>
        <w:rPr>
          <w:rFonts w:ascii="Arial" w:hAnsi="Arial"/>
          <w:noProof w:val="0"/>
        </w:rPr>
      </w:pPr>
      <w:r>
        <w:rPr>
          <w:rFonts w:ascii="Arial" w:hAnsi="Arial"/>
          <w:noProof w:val="0"/>
          <w:rtl/>
        </w:rPr>
        <w:t xml:space="preserve">במהלך הדרך אף בוצעה התערבות שיפוטית סמכותית לצד הליך חידוש הקשר, לרבות חיוב בהטלת סנקציה כספית על הורה שלא יתייצב או לא יביא את הקטינים למפגש טיפולי; בעיכוב ההליכים בתביעה למזונות קטינים שהוגשה כאמור על ידי האם ; וכן בקביעת מנגנון למימון טיפול שבחלקו בר קיזוז ממזונותיהם הזמניים של הקטינים ובחלקו אף מאפשר נקיטה בהליכי אכיפה מצד האב (ראו שוב, החלטות מיום 15.6.23 ומיום 14.9.23). </w:t>
      </w:r>
    </w:p>
    <w:p w:rsidR="00222945" w:rsidRDefault="00222945" w:rsidP="00222945">
      <w:pPr>
        <w:pStyle w:val="ac"/>
        <w:spacing w:line="360" w:lineRule="auto"/>
        <w:ind w:left="360"/>
        <w:jc w:val="both"/>
        <w:rPr>
          <w:rFonts w:ascii="Arial" w:hAnsi="Arial"/>
          <w:b/>
          <w:bCs/>
          <w:noProof w:val="0"/>
          <w:rtl/>
        </w:rPr>
      </w:pPr>
    </w:p>
    <w:p w:rsidR="00222945" w:rsidRDefault="00222945" w:rsidP="00177C90">
      <w:pPr>
        <w:pStyle w:val="ac"/>
        <w:numPr>
          <w:ilvl w:val="0"/>
          <w:numId w:val="6"/>
        </w:numPr>
        <w:spacing w:line="360" w:lineRule="auto"/>
        <w:ind w:left="360"/>
        <w:jc w:val="both"/>
        <w:rPr>
          <w:rFonts w:ascii="Arial" w:hAnsi="Arial"/>
          <w:b/>
          <w:bCs/>
          <w:noProof w:val="0"/>
          <w:rtl/>
        </w:rPr>
      </w:pPr>
      <w:r>
        <w:rPr>
          <w:rFonts w:ascii="Arial" w:hAnsi="Arial"/>
          <w:noProof w:val="0"/>
          <w:rtl/>
        </w:rPr>
        <w:t xml:space="preserve">ככל שחלף הזמן, הלכה והעמיקה ההבנה שהאם אינה מאפשרת תהליך טיפול אפקטיבי לשם חידוש והבניית הקשר בין הקטינים ובין אביהם. לצד הצהרות חוזרות מצידה בדבר חשיבות הקשר בין האב לקטינים בפועל, המטפלת הגב' </w:t>
      </w:r>
      <w:r w:rsidR="00177C90">
        <w:rPr>
          <w:rFonts w:ascii="Arial" w:hAnsi="Arial" w:hint="cs"/>
          <w:noProof w:val="0"/>
        </w:rPr>
        <w:t>Z</w:t>
      </w:r>
      <w:r>
        <w:rPr>
          <w:rFonts w:ascii="Arial" w:hAnsi="Arial"/>
          <w:noProof w:val="0"/>
          <w:rtl/>
        </w:rPr>
        <w:t xml:space="preserve"> התרשמה שהאם אינה פועלת לשינוי המגמה, אלא מובילה </w:t>
      </w:r>
      <w:r>
        <w:rPr>
          <w:rFonts w:ascii="Arial" w:hAnsi="Arial"/>
          <w:noProof w:val="0"/>
          <w:u w:val="single"/>
          <w:rtl/>
        </w:rPr>
        <w:t>להסלמה</w:t>
      </w:r>
      <w:r>
        <w:rPr>
          <w:rFonts w:ascii="Arial" w:hAnsi="Arial"/>
          <w:noProof w:val="0"/>
          <w:rtl/>
        </w:rPr>
        <w:t xml:space="preserve"> בהסתכלות שלה על התהליך הטיפולי ; הסתכלות שמשפיעה באופן ישיר על הקטינים. להתרשמותה :"...</w:t>
      </w:r>
      <w:r>
        <w:rPr>
          <w:rFonts w:ascii="Arial" w:hAnsi="Arial"/>
          <w:b/>
          <w:bCs/>
          <w:noProof w:val="0"/>
          <w:rtl/>
        </w:rPr>
        <w:t xml:space="preserve">חוסר היכולת של האם לראות את הטיפול כמקום שגם נתן גבולות שומרים ומכבדים וגם נתן פתח לשיח מתוך מגמת שיפור הקשר היא למעשה הבעיה המרכזית. האם מדברת על הטיפול באמונה שלימה כאילו היה פוגעני. היא מאמינה בזה וגם סבורה שילדיה חשים כך בצדק. היא אינה מנסה בכלל לתווך בצורה הוגנת ואינטגרטיבית את הטיפול בדומה מאוד לאופן בו מתווכת את דמות האב כדמונית ופוגענית.  היא עושה כל מאמץ להרוס אותי כדמות מטפלת ולסמן אותי כמסוכנת עבור הילדים ומהלך זה כלל אינו לטובת הילדים משום שפוגע בתחושת האמון שלהם כלפי העולם בכלל וכלפי דמויות טיפוליות מיטיבות בפרט". </w:t>
      </w:r>
    </w:p>
    <w:p w:rsidR="00222945" w:rsidRDefault="00222945" w:rsidP="00222945">
      <w:pPr>
        <w:spacing w:line="360" w:lineRule="auto"/>
        <w:ind w:left="357"/>
        <w:jc w:val="both"/>
        <w:rPr>
          <w:rFonts w:ascii="Arial" w:hAnsi="Arial"/>
          <w:b/>
          <w:bCs/>
          <w:noProof w:val="0"/>
        </w:rPr>
      </w:pPr>
    </w:p>
    <w:p w:rsidR="00222945" w:rsidRDefault="00222945" w:rsidP="00177C90">
      <w:pPr>
        <w:spacing w:line="360" w:lineRule="auto"/>
        <w:ind w:left="357"/>
        <w:jc w:val="both"/>
        <w:rPr>
          <w:rFonts w:ascii="Arial" w:hAnsi="Arial"/>
          <w:noProof w:val="0"/>
          <w:rtl/>
        </w:rPr>
      </w:pPr>
      <w:r>
        <w:rPr>
          <w:rFonts w:ascii="Arial" w:hAnsi="Arial"/>
          <w:noProof w:val="0"/>
          <w:rtl/>
        </w:rPr>
        <w:t xml:space="preserve">להתרשמות המטפלת הגב' </w:t>
      </w:r>
      <w:r w:rsidR="00177C90">
        <w:rPr>
          <w:rFonts w:ascii="Arial" w:hAnsi="Arial" w:hint="cs"/>
          <w:noProof w:val="0"/>
        </w:rPr>
        <w:t>Z</w:t>
      </w:r>
      <w:r>
        <w:rPr>
          <w:rFonts w:ascii="Arial" w:hAnsi="Arial"/>
          <w:noProof w:val="0"/>
          <w:rtl/>
        </w:rPr>
        <w:t xml:space="preserve">, חזרה לטיפול במצב שכזה אף תהיה פוגענית כלפי הקטינים והומלץ על ידה שבית המשפט ימשיך במהלכים של סנקציות כלפי האם בתקווה שאלו יצליחו לגייס אותה (ראו: עדכון המטפלת מיום 30.9.24). </w:t>
      </w:r>
    </w:p>
    <w:p w:rsidR="00222945" w:rsidRDefault="00222945" w:rsidP="00222945">
      <w:pPr>
        <w:spacing w:line="360" w:lineRule="auto"/>
        <w:ind w:left="357"/>
        <w:jc w:val="both"/>
        <w:rPr>
          <w:rFonts w:ascii="Arial" w:hAnsi="Arial"/>
          <w:noProof w:val="0"/>
          <w:rtl/>
        </w:rPr>
      </w:pPr>
    </w:p>
    <w:p w:rsidR="00222945" w:rsidRDefault="00222945" w:rsidP="00222945">
      <w:pPr>
        <w:pStyle w:val="ac"/>
        <w:numPr>
          <w:ilvl w:val="0"/>
          <w:numId w:val="6"/>
        </w:numPr>
        <w:spacing w:line="360" w:lineRule="auto"/>
        <w:ind w:left="360"/>
        <w:jc w:val="both"/>
        <w:rPr>
          <w:rFonts w:ascii="Arial" w:hAnsi="Arial"/>
          <w:noProof w:val="0"/>
          <w:rtl/>
        </w:rPr>
      </w:pPr>
      <w:r>
        <w:rPr>
          <w:rFonts w:ascii="Arial" w:hAnsi="Arial"/>
          <w:noProof w:val="0"/>
          <w:rtl/>
        </w:rPr>
        <w:t xml:space="preserve">בהחלטה דלעיל מיום 8.9.24, לא בכדי הבהרתי שקיימת חשיבות שגורמי הרווחה יתנו דעתם למצבם של הקטינים </w:t>
      </w:r>
      <w:r>
        <w:rPr>
          <w:rFonts w:ascii="Arial" w:hAnsi="Arial"/>
          <w:noProof w:val="0"/>
          <w:u w:val="single"/>
          <w:rtl/>
        </w:rPr>
        <w:t xml:space="preserve">וישקלו היטב האם אין מקום להידרש לקטינים כאל </w:t>
      </w:r>
      <w:r>
        <w:rPr>
          <w:rFonts w:ascii="Arial" w:hAnsi="Arial"/>
          <w:b/>
          <w:bCs/>
          <w:noProof w:val="0"/>
          <w:u w:val="single"/>
          <w:rtl/>
        </w:rPr>
        <w:t>נזקקים</w:t>
      </w:r>
      <w:r>
        <w:rPr>
          <w:rFonts w:ascii="Arial" w:hAnsi="Arial"/>
          <w:noProof w:val="0"/>
          <w:u w:val="single"/>
          <w:rtl/>
        </w:rPr>
        <w:t xml:space="preserve"> ולבחון בהתאם דרכי טיפול מתאימות </w:t>
      </w:r>
      <w:r>
        <w:rPr>
          <w:rFonts w:ascii="Arial" w:hAnsi="Arial"/>
          <w:noProof w:val="0"/>
          <w:rtl/>
        </w:rPr>
        <w:t xml:space="preserve">; זאת בחסות הוראות </w:t>
      </w:r>
      <w:r>
        <w:rPr>
          <w:rFonts w:ascii="Arial" w:hAnsi="Arial"/>
          <w:b/>
          <w:bCs/>
          <w:noProof w:val="0"/>
          <w:rtl/>
        </w:rPr>
        <w:t>חוק הנוער (טיפול והשגחה), התש"ך- 1960</w:t>
      </w:r>
      <w:r>
        <w:rPr>
          <w:rFonts w:ascii="Arial" w:hAnsi="Arial"/>
          <w:noProof w:val="0"/>
          <w:rtl/>
        </w:rPr>
        <w:t xml:space="preserve"> (להלן: "</w:t>
      </w:r>
      <w:r>
        <w:rPr>
          <w:rFonts w:ascii="Arial" w:hAnsi="Arial"/>
          <w:b/>
          <w:bCs/>
          <w:noProof w:val="0"/>
          <w:rtl/>
        </w:rPr>
        <w:t>חוק הנוער</w:t>
      </w:r>
      <w:r>
        <w:rPr>
          <w:rFonts w:ascii="Arial" w:hAnsi="Arial"/>
          <w:noProof w:val="0"/>
          <w:rtl/>
        </w:rPr>
        <w:t xml:space="preserve">").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Pr>
      </w:pPr>
      <w:r>
        <w:rPr>
          <w:rFonts w:ascii="Arial" w:hAnsi="Arial"/>
          <w:noProof w:val="0"/>
          <w:rtl/>
        </w:rPr>
        <w:t xml:space="preserve">דומה, כי זו גם הייתה התרשמות האפוטרופא לדין בדיון שהתקיים ביום 7.8.24. אף הבעתי דעתי, כי האם אינה יכולה להוסיף ולאחוז במקל משני קצותיו. מחד, לעתור לחיוב האב במזונות קטינים ומנגד, לא לפעול כדבעי לחידוש הקשר ביניהם </w:t>
      </w:r>
      <w:r>
        <w:rPr>
          <w:rFonts w:ascii="Arial" w:hAnsi="Arial"/>
          <w:noProof w:val="0"/>
          <w:u w:val="single"/>
          <w:rtl/>
        </w:rPr>
        <w:t>והלכה למעשה לסכלו</w:t>
      </w:r>
      <w:r>
        <w:rPr>
          <w:rFonts w:ascii="Arial" w:hAnsi="Arial"/>
          <w:noProof w:val="0"/>
          <w:rtl/>
        </w:rPr>
        <w:t>.</w:t>
      </w:r>
    </w:p>
    <w:p w:rsidR="00222945" w:rsidRDefault="00222945" w:rsidP="00222945">
      <w:pPr>
        <w:pStyle w:val="ac"/>
        <w:spacing w:line="360" w:lineRule="auto"/>
        <w:ind w:left="360"/>
        <w:jc w:val="both"/>
        <w:rPr>
          <w:rFonts w:ascii="Arial" w:hAnsi="Arial"/>
          <w:noProof w:val="0"/>
          <w:rtl/>
        </w:rPr>
      </w:pPr>
    </w:p>
    <w:p w:rsidR="00222945" w:rsidRDefault="00222945" w:rsidP="00177C90">
      <w:pPr>
        <w:pStyle w:val="ac"/>
        <w:spacing w:line="360" w:lineRule="auto"/>
        <w:ind w:left="360"/>
        <w:jc w:val="both"/>
        <w:rPr>
          <w:rFonts w:ascii="Arial" w:hAnsi="Arial"/>
          <w:noProof w:val="0"/>
          <w:rtl/>
        </w:rPr>
      </w:pPr>
      <w:r>
        <w:rPr>
          <w:rFonts w:ascii="Arial" w:hAnsi="Arial"/>
          <w:noProof w:val="0"/>
          <w:rtl/>
        </w:rPr>
        <w:t xml:space="preserve">לאם ניתנה בהחלטה דלעיל שהות ליצירת שינוי בר קיימא בהירתמות שלה ושל הקטינים לתהליך הטיפולי, לרבות בהפעלת סמכותה ההורית אל מול הקטינים לשם כך. הזדמנות נוספת זו, כך נראה,  נדחתה על ידה לרבות במעשים בפועל כפי התרשמות המטפלת הגב' </w:t>
      </w:r>
      <w:r w:rsidR="00177C90">
        <w:rPr>
          <w:rFonts w:ascii="Arial" w:hAnsi="Arial" w:hint="cs"/>
          <w:noProof w:val="0"/>
        </w:rPr>
        <w:t>Z</w:t>
      </w:r>
      <w:r>
        <w:rPr>
          <w:rFonts w:ascii="Arial" w:hAnsi="Arial"/>
          <w:noProof w:val="0"/>
          <w:rtl/>
        </w:rPr>
        <w:t xml:space="preserve">, ובשתי ידיים.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numPr>
          <w:ilvl w:val="0"/>
          <w:numId w:val="6"/>
        </w:numPr>
        <w:spacing w:line="360" w:lineRule="auto"/>
        <w:ind w:left="360"/>
        <w:jc w:val="both"/>
        <w:rPr>
          <w:rFonts w:ascii="Arial" w:hAnsi="Arial"/>
          <w:noProof w:val="0"/>
        </w:rPr>
      </w:pPr>
      <w:r>
        <w:rPr>
          <w:rFonts w:ascii="Arial" w:hAnsi="Arial"/>
          <w:noProof w:val="0"/>
          <w:rtl/>
        </w:rPr>
        <w:t xml:space="preserve">כיום, האם מבקשת לשקול שילוב המשפחה במרכז חירום ומוסיפה לטעון כי עשתה כל שלאל ידה לגייס את הקטינים אלא שיש התנגדות קשה מצדם. </w:t>
      </w:r>
    </w:p>
    <w:p w:rsidR="00222945" w:rsidRDefault="00222945" w:rsidP="00222945">
      <w:pPr>
        <w:pStyle w:val="ac"/>
        <w:rPr>
          <w:rFonts w:ascii="Arial" w:hAnsi="Arial"/>
          <w:noProof w:val="0"/>
        </w:rPr>
      </w:pPr>
    </w:p>
    <w:p w:rsidR="00222945" w:rsidRDefault="00222945" w:rsidP="00222945">
      <w:pPr>
        <w:pStyle w:val="ac"/>
        <w:numPr>
          <w:ilvl w:val="0"/>
          <w:numId w:val="6"/>
        </w:numPr>
        <w:spacing w:line="360" w:lineRule="auto"/>
        <w:ind w:left="360"/>
        <w:jc w:val="both"/>
        <w:rPr>
          <w:rFonts w:ascii="Arial" w:hAnsi="Arial"/>
          <w:noProof w:val="0"/>
        </w:rPr>
      </w:pPr>
      <w:r>
        <w:rPr>
          <w:rFonts w:ascii="Arial" w:hAnsi="Arial"/>
          <w:noProof w:val="0"/>
          <w:rtl/>
        </w:rPr>
        <w:t xml:space="preserve">האב מבקש להפנות את האם לבחינה של מסוגלותה ההורית ועותר לביטול חיובו במזונות הקטינים. </w:t>
      </w:r>
    </w:p>
    <w:p w:rsidR="00222945" w:rsidRDefault="00222945" w:rsidP="00222945">
      <w:pPr>
        <w:pStyle w:val="ac"/>
        <w:rPr>
          <w:rFonts w:ascii="Arial" w:hAnsi="Arial"/>
          <w:noProof w:val="0"/>
        </w:rPr>
      </w:pPr>
    </w:p>
    <w:p w:rsidR="00222945" w:rsidRDefault="00222945" w:rsidP="00177C90">
      <w:pPr>
        <w:pStyle w:val="ac"/>
        <w:numPr>
          <w:ilvl w:val="0"/>
          <w:numId w:val="6"/>
        </w:numPr>
        <w:spacing w:line="360" w:lineRule="auto"/>
        <w:ind w:left="360"/>
        <w:jc w:val="both"/>
        <w:rPr>
          <w:rFonts w:ascii="Arial" w:hAnsi="Arial"/>
          <w:noProof w:val="0"/>
          <w:rtl/>
        </w:rPr>
      </w:pPr>
      <w:r>
        <w:rPr>
          <w:rFonts w:ascii="Arial" w:hAnsi="Arial"/>
          <w:noProof w:val="0"/>
          <w:rtl/>
        </w:rPr>
        <w:t xml:space="preserve">האפוטרופא לדין בעמדתה מצטרפת לעמדת המטפלת הגב' </w:t>
      </w:r>
      <w:r w:rsidR="00177C90">
        <w:rPr>
          <w:rFonts w:ascii="Arial" w:hAnsi="Arial" w:hint="cs"/>
          <w:noProof w:val="0"/>
        </w:rPr>
        <w:t>Z</w:t>
      </w:r>
      <w:r>
        <w:rPr>
          <w:rFonts w:ascii="Arial" w:hAnsi="Arial"/>
          <w:noProof w:val="0"/>
          <w:rtl/>
        </w:rPr>
        <w:t xml:space="preserve"> לפיה המשך שילוב הקטינים באפיק הטיפולי הנוכחי אינו נכון עבורם. האפוטרופא לדין התייחסה לניתוק הקשר בראי זמן ילד, עת הקטינים הופכים נוקשים יותר ומקובעים יותר וכי ככל שייקבע אפיק טיפולי אחר, יצריך הדבר בניית אמון וקשר אל מול החשש לסיכוייו של תהליך נוסף לחידוש קשר במורכבות הקיימת. </w:t>
      </w:r>
    </w:p>
    <w:p w:rsidR="00222945" w:rsidRDefault="00222945" w:rsidP="00222945">
      <w:pPr>
        <w:pStyle w:val="ac"/>
        <w:rPr>
          <w:rFonts w:ascii="Arial" w:hAnsi="Arial"/>
          <w:noProof w:val="0"/>
        </w:rPr>
      </w:pPr>
    </w:p>
    <w:p w:rsidR="00222945" w:rsidRDefault="00222945" w:rsidP="00222945">
      <w:pPr>
        <w:pStyle w:val="ac"/>
        <w:numPr>
          <w:ilvl w:val="0"/>
          <w:numId w:val="6"/>
        </w:numPr>
        <w:spacing w:line="360" w:lineRule="auto"/>
        <w:ind w:left="360"/>
        <w:jc w:val="both"/>
        <w:rPr>
          <w:rFonts w:ascii="Arial" w:hAnsi="Arial"/>
          <w:noProof w:val="0"/>
          <w:rtl/>
        </w:rPr>
      </w:pPr>
      <w:r>
        <w:rPr>
          <w:rFonts w:ascii="Arial" w:hAnsi="Arial"/>
          <w:noProof w:val="0"/>
          <w:rtl/>
        </w:rPr>
        <w:t xml:space="preserve">שקלתי את עמדות הצדדים, לרבות עתירת האב לביטול חיובו במזונות הקטינים (זאת לאחר שכבר נדרשתי בעבר לאפשרות שכתבי טענותיו של הורה יכול ויימחקו ככל שלא ימלא אחר הוראות שיפוטיות).  </w:t>
      </w:r>
    </w:p>
    <w:p w:rsidR="00222945" w:rsidRDefault="00222945" w:rsidP="00222945">
      <w:pPr>
        <w:pStyle w:val="ac"/>
        <w:rPr>
          <w:rFonts w:ascii="Arial" w:hAnsi="Arial"/>
          <w:noProof w:val="0"/>
        </w:rPr>
      </w:pPr>
    </w:p>
    <w:p w:rsidR="00222945" w:rsidRDefault="00222945" w:rsidP="00222945">
      <w:pPr>
        <w:pStyle w:val="ac"/>
        <w:spacing w:line="360" w:lineRule="auto"/>
        <w:ind w:left="360"/>
        <w:jc w:val="both"/>
        <w:rPr>
          <w:rFonts w:ascii="Arial" w:hAnsi="Arial"/>
          <w:noProof w:val="0"/>
        </w:rPr>
      </w:pPr>
      <w:r>
        <w:rPr>
          <w:rFonts w:ascii="Arial" w:hAnsi="Arial"/>
          <w:noProof w:val="0"/>
          <w:rtl/>
        </w:rPr>
        <w:t xml:space="preserve">הגעתי לכלל מסקנה, כי הסעד והתרופה הראויים – הן לאב והן לקטינים עצמם – במקרה שלפני, שבו התנהלותה של האם מסכלת למעשה את אפשרות חידוש הקשר ביניהם, אינם בדרך של ביטול החיוב במזונות (או במלים אחרות - דחיית העתירה לחייבו בתשלום לאם עבור מזונות הילדים). התרופה אף </w:t>
      </w:r>
      <w:r>
        <w:rPr>
          <w:rFonts w:ascii="Arial" w:hAnsi="Arial"/>
          <w:noProof w:val="0"/>
          <w:u w:val="single"/>
          <w:rtl/>
        </w:rPr>
        <w:t>איננה בהרחבה נוספת</w:t>
      </w:r>
      <w:r>
        <w:rPr>
          <w:rFonts w:ascii="Arial" w:hAnsi="Arial"/>
          <w:noProof w:val="0"/>
          <w:rtl/>
        </w:rPr>
        <w:t xml:space="preserve"> של צעדי האכיפה השונים לרבות בדרך של הטלת הגבלות שונות (דוגמת הגבלות לפי פרק ו1' </w:t>
      </w:r>
      <w:r>
        <w:rPr>
          <w:rFonts w:ascii="Arial" w:hAnsi="Arial"/>
          <w:b/>
          <w:bCs/>
          <w:noProof w:val="0"/>
          <w:rtl/>
        </w:rPr>
        <w:t>לחוק ההוצאה לפועל, התשכ"ז – 1967</w:t>
      </w:r>
      <w:r>
        <w:rPr>
          <w:rFonts w:ascii="Arial" w:hAnsi="Arial"/>
          <w:noProof w:val="0"/>
          <w:rtl/>
        </w:rPr>
        <w:t xml:space="preserve">), מקום בו צעדים אלה </w:t>
      </w:r>
      <w:r>
        <w:rPr>
          <w:rFonts w:ascii="Arial" w:hAnsi="Arial"/>
          <w:noProof w:val="0"/>
          <w:u w:val="single"/>
          <w:rtl/>
        </w:rPr>
        <w:t>לא יהיו אפקטיביים דיים</w:t>
      </w:r>
      <w:r>
        <w:rPr>
          <w:rFonts w:ascii="Arial" w:hAnsi="Arial"/>
          <w:noProof w:val="0"/>
          <w:rtl/>
        </w:rPr>
        <w:t xml:space="preserve"> עת האם מנהלת הליכי חדלות פירעון עת בנקיטתם יהא לכל היותר משום סעד הצהרתי בפועל; הליכים אשר יכול ואף יפגעו שלא לצורך באינטרסים של צדדי ג' הנושים באם.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r>
        <w:rPr>
          <w:rFonts w:ascii="Arial" w:hAnsi="Arial"/>
          <w:noProof w:val="0"/>
          <w:rtl/>
        </w:rPr>
        <w:t xml:space="preserve">הסעד הראוי אף איננו בהותרת תמונת המצב בחדלונה הנוכחי.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r>
        <w:rPr>
          <w:rFonts w:ascii="Arial" w:hAnsi="Arial"/>
          <w:noProof w:val="0"/>
          <w:rtl/>
        </w:rPr>
        <w:t>הסעד הראוי לשיטתי במקרה זה, במיוחד ממבט העל המצופה משופט בבית המשפט לענייני משפחה, עליו מוטלת החובה לנהל את ההליכים בעניין המשפחה בראי הכלל היסודי בדבר "שופט אחד למשפחה אחת", הוא במחיקת תביעתה של האם למזונות.</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numPr>
          <w:ilvl w:val="0"/>
          <w:numId w:val="6"/>
        </w:numPr>
        <w:spacing w:line="360" w:lineRule="auto"/>
        <w:ind w:left="360"/>
        <w:jc w:val="both"/>
        <w:rPr>
          <w:rFonts w:ascii="Arial" w:hAnsi="Arial"/>
          <w:noProof w:val="0"/>
          <w:rtl/>
        </w:rPr>
      </w:pPr>
      <w:r>
        <w:rPr>
          <w:rFonts w:ascii="Arial" w:hAnsi="Arial"/>
          <w:noProof w:val="0"/>
          <w:rtl/>
        </w:rPr>
        <w:t xml:space="preserve">שכן שתי התובענות שבכותרת קשורות אינהרנטית – ולא רק לאור זהות המותב המטפל - זו בזו. תנאי יסודי להכרעה בשאלות מתחום מזונות קטינים, במיוחד עת לפי הדין האישי החל על הצדדים ולאור גילם של הקטינים החיוב הוא מדין צדקה, הוא מהו אופי הקשר שבין קטין ובין הורהו. מקום בו האם נקטה וממשיכה לנקוט בצעדים לעיכוב והכשלה של הסדרת הקשר בין האב ובין הקטינים, פעולותיה ומחדליה אלה מונעים דה-יורה ודה-פקטו גם את האפשרות להסדיר שיפוטית את האינטרס העיקרי הנוסף שלה – הוא האינטרס שבית המשפט יידרש לתביעתה לחייב האב במזונות הילדים.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Pr>
      </w:pPr>
      <w:r>
        <w:rPr>
          <w:rFonts w:ascii="Arial" w:hAnsi="Arial"/>
          <w:noProof w:val="0"/>
          <w:rtl/>
        </w:rPr>
        <w:t xml:space="preserve">לא בכדי, על מנת לאפשר תהליך לחידוש הקשר בין האב ובין הקטינים הוריתי על עיכובם של ההליכים בתביעת המזונות, הגם שההחלטה למזונות זמניים נותרה על כנה (בשינויים מסוימים).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r>
        <w:rPr>
          <w:rFonts w:ascii="Arial" w:hAnsi="Arial"/>
          <w:noProof w:val="0"/>
          <w:rtl/>
        </w:rPr>
        <w:t xml:space="preserve">אלא שבמשך ארבע שנים בהם מתנהלים הליכים שבמוקדם הנסיון לחדש ולייצב את הקשר שבין האב ובין הקטינים, דומני שהאם מסתמכת יתר על המידה על הסיכוי, שהזמני יוותר למעשה וגם אם לא להלכה, קבוע.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r>
        <w:rPr>
          <w:rFonts w:ascii="Arial" w:hAnsi="Arial"/>
          <w:noProof w:val="0"/>
          <w:rtl/>
        </w:rPr>
        <w:t xml:space="preserve">שכן למרבה הצער האם בוחרת להמשיך במגמה של העמקת הנתק בין האב לקטינים. בעשותה כן היא ממשיכה לאחוז במקל משני קצותיו ; עותרת לסעד בהליך אחד, מסתמכת על החלטה ארעית גרידא בדבר תשלום כספי מתחדש ומנגד מונעת אפשרות לסעד בהליך שני, הקשור בטבורו להליך הראשון. </w:t>
      </w:r>
    </w:p>
    <w:p w:rsidR="00222945" w:rsidRDefault="00222945" w:rsidP="00222945">
      <w:pPr>
        <w:pStyle w:val="ac"/>
        <w:rPr>
          <w:rFonts w:ascii="Arial" w:hAnsi="Arial"/>
          <w:noProof w:val="0"/>
          <w:rtl/>
        </w:rPr>
      </w:pPr>
    </w:p>
    <w:p w:rsidR="00222945" w:rsidRDefault="00222945" w:rsidP="00222945">
      <w:pPr>
        <w:pStyle w:val="ac"/>
        <w:numPr>
          <w:ilvl w:val="0"/>
          <w:numId w:val="6"/>
        </w:numPr>
        <w:spacing w:line="360" w:lineRule="auto"/>
        <w:ind w:left="360"/>
        <w:jc w:val="both"/>
        <w:rPr>
          <w:rFonts w:ascii="Arial" w:hAnsi="Arial"/>
          <w:noProof w:val="0"/>
          <w:rtl/>
        </w:rPr>
      </w:pPr>
      <w:r>
        <w:rPr>
          <w:rFonts w:ascii="Arial" w:hAnsi="Arial"/>
          <w:noProof w:val="0"/>
          <w:rtl/>
        </w:rPr>
        <w:t xml:space="preserve">כפי שהבהרתי לעיל, צעדי אכיפה בעלי נפקות כלכלית ישירה אינם אפקטיביים בהסדרת מחויבות האם והקטינים להליך חידוש הקשר עם האב. זאת, בראש ובראשונה עת האם עצמה מנהלת הליכי חדלות פירעון. </w:t>
      </w:r>
    </w:p>
    <w:p w:rsidR="00222945" w:rsidRDefault="00222945" w:rsidP="00222945">
      <w:pPr>
        <w:pStyle w:val="ac"/>
        <w:spacing w:line="360" w:lineRule="auto"/>
        <w:ind w:left="360"/>
        <w:jc w:val="both"/>
        <w:rPr>
          <w:rFonts w:ascii="Arial" w:hAnsi="Arial"/>
          <w:noProof w:val="0"/>
        </w:rPr>
      </w:pPr>
    </w:p>
    <w:p w:rsidR="00222945" w:rsidRDefault="00222945" w:rsidP="00222945">
      <w:pPr>
        <w:pStyle w:val="ac"/>
        <w:spacing w:line="360" w:lineRule="auto"/>
        <w:ind w:left="360"/>
        <w:jc w:val="both"/>
        <w:rPr>
          <w:rFonts w:ascii="Arial" w:hAnsi="Arial"/>
          <w:noProof w:val="0"/>
        </w:rPr>
      </w:pPr>
      <w:r>
        <w:rPr>
          <w:rFonts w:ascii="Arial" w:hAnsi="Arial"/>
          <w:noProof w:val="0"/>
          <w:rtl/>
        </w:rPr>
        <w:t xml:space="preserve">מנגד הכרזה, כעתירת האב, לפיה הוא איננו חייב לשלם דבר עבור מזונות ילדיו, אף היא איננה מחויבת המציאות שעה שההורים שניהם אחראים במשותף על ילדיהם כמתחייב מברירת המחדל </w:t>
      </w:r>
      <w:r>
        <w:rPr>
          <w:rFonts w:ascii="Arial" w:hAnsi="Arial"/>
          <w:b/>
          <w:bCs/>
          <w:noProof w:val="0"/>
          <w:rtl/>
        </w:rPr>
        <w:t>שבחוק הכשרות המשפטית והאפוטרופוסות התשכ"ב - 1962</w:t>
      </w:r>
      <w:r>
        <w:rPr>
          <w:rFonts w:ascii="Arial" w:hAnsi="Arial"/>
          <w:noProof w:val="0"/>
          <w:rtl/>
        </w:rPr>
        <w:t xml:space="preserve"> ; וממילא יתכן שהמקום הראוי לה איננו במסגרת תקיפה עקיפה של עתירת האם עצמה.</w:t>
      </w:r>
    </w:p>
    <w:p w:rsidR="00222945" w:rsidRDefault="00222945" w:rsidP="00222945">
      <w:pPr>
        <w:pStyle w:val="ac"/>
        <w:spacing w:line="360" w:lineRule="auto"/>
        <w:ind w:left="360"/>
        <w:jc w:val="both"/>
        <w:rPr>
          <w:rFonts w:ascii="Arial" w:hAnsi="Arial"/>
          <w:noProof w:val="0"/>
          <w:rtl/>
        </w:rPr>
      </w:pPr>
      <w:r>
        <w:rPr>
          <w:rFonts w:ascii="Arial" w:hAnsi="Arial"/>
          <w:noProof w:val="0"/>
          <w:rtl/>
        </w:rPr>
        <w:t xml:space="preserve">   </w:t>
      </w:r>
    </w:p>
    <w:p w:rsidR="00222945" w:rsidRDefault="00222945" w:rsidP="00222945">
      <w:pPr>
        <w:pStyle w:val="ac"/>
        <w:numPr>
          <w:ilvl w:val="0"/>
          <w:numId w:val="6"/>
        </w:numPr>
        <w:spacing w:line="360" w:lineRule="auto"/>
        <w:ind w:left="360"/>
        <w:jc w:val="both"/>
        <w:rPr>
          <w:rFonts w:ascii="Arial" w:hAnsi="Arial"/>
          <w:noProof w:val="0"/>
          <w:rtl/>
        </w:rPr>
      </w:pPr>
      <w:r>
        <w:rPr>
          <w:rFonts w:ascii="Arial" w:hAnsi="Arial"/>
          <w:noProof w:val="0"/>
          <w:rtl/>
        </w:rPr>
        <w:t xml:space="preserve">הפתרון המאוזן יותר, שהוא גם בבחינת "מונע הנזק הזול ביותר" – הן בראי התא המשפחתי והן בראי האינטרס הציבורי ; מצוי לא בהותרת המצב ב"סטאטוס קוו" חדלוני כאמור ולא בהכרזה בדבר הפטרת האב מכל חיוב שהוא בגין צרכי ילדיו. </w:t>
      </w:r>
    </w:p>
    <w:p w:rsidR="00222945" w:rsidRDefault="00222945" w:rsidP="00222945">
      <w:pPr>
        <w:pStyle w:val="ac"/>
        <w:spacing w:line="360" w:lineRule="auto"/>
        <w:ind w:left="360"/>
        <w:jc w:val="both"/>
        <w:rPr>
          <w:rFonts w:ascii="Arial" w:hAnsi="Arial"/>
          <w:noProof w:val="0"/>
        </w:rPr>
      </w:pPr>
    </w:p>
    <w:p w:rsidR="00222945" w:rsidRDefault="00222945" w:rsidP="00222945">
      <w:pPr>
        <w:pStyle w:val="ac"/>
        <w:spacing w:line="360" w:lineRule="auto"/>
        <w:ind w:left="360"/>
        <w:jc w:val="both"/>
        <w:rPr>
          <w:rFonts w:ascii="Arial" w:hAnsi="Arial"/>
          <w:noProof w:val="0"/>
        </w:rPr>
      </w:pPr>
      <w:r>
        <w:rPr>
          <w:rFonts w:ascii="Arial" w:hAnsi="Arial"/>
          <w:noProof w:val="0"/>
          <w:rtl/>
        </w:rPr>
        <w:t xml:space="preserve">הפתרון מצוי דווקא, כפי התראות שניתנו לא פעם במסגרת ניהול ההליכים, במחיקת התובענה למזונות הקטינים.  ההנמקות וההצדקות לכך רבות הן, הן מנקודת מבטם של בעלי הדין עצמם ; הן מנקודת מבטם של הקטינים (שהלכה למעשה כפי שאראה, הן במבט על והן קונקרטית טובתם איננה צפויה להיפגע); והן בבחינת האינטרס הציבורי עצמו, לרבות תשומות שיפוט ומינהל המושמות לאל נוכח התנהלותו של בעל דין.  </w:t>
      </w:r>
    </w:p>
    <w:p w:rsidR="00222945" w:rsidRDefault="00222945" w:rsidP="00222945">
      <w:pPr>
        <w:pStyle w:val="ac"/>
        <w:spacing w:line="360" w:lineRule="auto"/>
        <w:ind w:left="360"/>
        <w:jc w:val="both"/>
        <w:rPr>
          <w:rFonts w:ascii="Arial" w:hAnsi="Arial"/>
          <w:noProof w:val="0"/>
        </w:rPr>
      </w:pPr>
    </w:p>
    <w:p w:rsidR="00222945" w:rsidRDefault="00222945" w:rsidP="00222945">
      <w:pPr>
        <w:pStyle w:val="ac"/>
        <w:numPr>
          <w:ilvl w:val="0"/>
          <w:numId w:val="6"/>
        </w:numPr>
        <w:spacing w:line="360" w:lineRule="auto"/>
        <w:ind w:left="360"/>
        <w:jc w:val="both"/>
        <w:rPr>
          <w:rFonts w:ascii="Arial" w:hAnsi="Arial"/>
          <w:noProof w:val="0"/>
        </w:rPr>
      </w:pPr>
      <w:r>
        <w:rPr>
          <w:rFonts w:ascii="Arial" w:hAnsi="Arial"/>
          <w:noProof w:val="0"/>
          <w:rtl/>
        </w:rPr>
        <w:t xml:space="preserve">הבהרתי לעיל, כי הן תובענת האם והן תובענת האב קשורות זו בזו ותלויות האחת בשניה. כאשר בית המשפט לענייני משפחה בוחן את השאלות הכרוכות אחר יחסי הורים וילדים, השאלות הללו נבחנות בראייה הוליסטית  - אחודה ; עת סעד שניתן באפיק אחד משפיע וכרוך אחר הסעד המבוקש בהליך האחר. במובנים אלה, ולא בכדי, נידונות תובענות אחריות הורית ומזונות בצוותא חדא, שכן ממצאי עובדה בהליך אחד (למשל – האחריות ההורית) משליכות אינהרנטית על שאלת החבות בתשלום מזונות מהורה אחד להורה האחר. </w:t>
      </w:r>
    </w:p>
    <w:p w:rsidR="00222945" w:rsidRDefault="00222945" w:rsidP="00222945">
      <w:pPr>
        <w:pStyle w:val="ac"/>
        <w:rPr>
          <w:rFonts w:ascii="Arial" w:hAnsi="Arial"/>
          <w:noProof w:val="0"/>
        </w:rPr>
      </w:pPr>
    </w:p>
    <w:p w:rsidR="00222945" w:rsidRDefault="00222945" w:rsidP="00222945">
      <w:pPr>
        <w:pStyle w:val="ac"/>
        <w:numPr>
          <w:ilvl w:val="0"/>
          <w:numId w:val="6"/>
        </w:numPr>
        <w:spacing w:line="360" w:lineRule="auto"/>
        <w:ind w:left="360"/>
        <w:jc w:val="both"/>
        <w:rPr>
          <w:rFonts w:ascii="Arial" w:hAnsi="Arial"/>
          <w:noProof w:val="0"/>
        </w:rPr>
      </w:pPr>
      <w:r>
        <w:rPr>
          <w:rFonts w:ascii="Arial" w:hAnsi="Arial"/>
          <w:noProof w:val="0"/>
          <w:rtl/>
        </w:rPr>
        <w:t xml:space="preserve">לא בכדי מצא המחוקק להסדיר בחקיקה את הכלל היסודי בדבר "שופט אחד למשפחה אחת" (ראו למשל סעיף 6(ד) </w:t>
      </w:r>
      <w:r>
        <w:rPr>
          <w:rFonts w:ascii="Arial" w:hAnsi="Arial"/>
          <w:b/>
          <w:bCs/>
          <w:noProof w:val="0"/>
          <w:rtl/>
        </w:rPr>
        <w:t>לחוק בית המשפט לענייני משפחה, התשנ"ה – 1995</w:t>
      </w:r>
      <w:r>
        <w:rPr>
          <w:rFonts w:ascii="Arial" w:hAnsi="Arial"/>
          <w:noProof w:val="0"/>
          <w:rtl/>
        </w:rPr>
        <w:t xml:space="preserve"> וכן תקנה 2(א) </w:t>
      </w:r>
      <w:r>
        <w:rPr>
          <w:rFonts w:ascii="Arial" w:hAnsi="Arial"/>
          <w:b/>
          <w:bCs/>
          <w:noProof w:val="0"/>
          <w:rtl/>
        </w:rPr>
        <w:t>לתקנות בית המשפט לענייני משפחה (סדרי דין), התשפ"א - 2020</w:t>
      </w:r>
      <w:r>
        <w:rPr>
          <w:rFonts w:ascii="Arial" w:hAnsi="Arial"/>
          <w:noProof w:val="0"/>
          <w:rtl/>
        </w:rPr>
        <w:t xml:space="preserve">).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r>
        <w:rPr>
          <w:rFonts w:ascii="Arial" w:hAnsi="Arial"/>
          <w:noProof w:val="0"/>
          <w:rtl/>
        </w:rPr>
        <w:t>לא בכדי אף מצא מחוקק המשנה להבהיר, כי על בעל דין מוטלת חובה לנהל הליכים בתום לב, ויותר מכך – לסייע לבית המשפט להשיג "...</w:t>
      </w:r>
      <w:r>
        <w:rPr>
          <w:rFonts w:ascii="Arial" w:hAnsi="Arial"/>
          <w:b/>
          <w:bCs/>
          <w:noProof w:val="0"/>
          <w:rtl/>
        </w:rPr>
        <w:t>תוצאה נכונה ופתרון צודק של הסכסוך</w:t>
      </w:r>
      <w:r>
        <w:rPr>
          <w:rFonts w:ascii="Arial" w:hAnsi="Arial"/>
          <w:noProof w:val="0"/>
          <w:rtl/>
        </w:rPr>
        <w:t xml:space="preserve">..." [תקנה 1 </w:t>
      </w:r>
      <w:r>
        <w:rPr>
          <w:rFonts w:ascii="Arial" w:hAnsi="Arial"/>
          <w:b/>
          <w:bCs/>
          <w:noProof w:val="0"/>
          <w:rtl/>
        </w:rPr>
        <w:t>לתקנות סדר הדין האזרחי, התשע"ט – 2018</w:t>
      </w:r>
      <w:r>
        <w:rPr>
          <w:rFonts w:ascii="Arial" w:hAnsi="Arial"/>
          <w:noProof w:val="0"/>
          <w:rtl/>
        </w:rPr>
        <w:t xml:space="preserve"> (להלן: "</w:t>
      </w:r>
      <w:r>
        <w:rPr>
          <w:rFonts w:ascii="Arial" w:hAnsi="Arial"/>
          <w:b/>
          <w:bCs/>
          <w:noProof w:val="0"/>
          <w:rtl/>
        </w:rPr>
        <w:t>תקנות סדר הדין האזרחי</w:t>
      </w:r>
      <w:r>
        <w:rPr>
          <w:rFonts w:ascii="Arial" w:hAnsi="Arial"/>
          <w:noProof w:val="0"/>
          <w:rtl/>
        </w:rPr>
        <w:t xml:space="preserve">"); ראו בהרחבה תקנות 1 – 5 לתקנות אלה וכן תקנות 1 – 2 </w:t>
      </w:r>
      <w:r>
        <w:rPr>
          <w:rFonts w:ascii="Arial" w:hAnsi="Arial"/>
          <w:b/>
          <w:bCs/>
          <w:noProof w:val="0"/>
          <w:rtl/>
        </w:rPr>
        <w:t>לתקנות בית המשפט לענייני משפחה (סדרי דין) התשפ"א – 2020</w:t>
      </w:r>
      <w:r>
        <w:rPr>
          <w:rFonts w:ascii="Arial" w:hAnsi="Arial"/>
          <w:noProof w:val="0"/>
          <w:rtl/>
        </w:rPr>
        <w:t xml:space="preserve"> (להלן: "</w:t>
      </w:r>
      <w:r>
        <w:rPr>
          <w:rFonts w:ascii="Arial" w:hAnsi="Arial"/>
          <w:b/>
          <w:bCs/>
          <w:noProof w:val="0"/>
          <w:rtl/>
        </w:rPr>
        <w:t>תקנות המשפחה</w:t>
      </w:r>
      <w:r>
        <w:rPr>
          <w:rFonts w:ascii="Arial" w:hAnsi="Arial"/>
          <w:noProof w:val="0"/>
          <w:rtl/>
        </w:rPr>
        <w:t>")].</w:t>
      </w:r>
    </w:p>
    <w:p w:rsidR="00222945" w:rsidRDefault="00222945" w:rsidP="00222945">
      <w:pPr>
        <w:pStyle w:val="ac"/>
        <w:rPr>
          <w:rFonts w:ascii="Arial" w:hAnsi="Arial"/>
          <w:noProof w:val="0"/>
          <w:rtl/>
        </w:rPr>
      </w:pPr>
    </w:p>
    <w:p w:rsidR="00222945" w:rsidRDefault="00222945" w:rsidP="00222945">
      <w:pPr>
        <w:pStyle w:val="ac"/>
        <w:numPr>
          <w:ilvl w:val="0"/>
          <w:numId w:val="6"/>
        </w:numPr>
        <w:spacing w:line="360" w:lineRule="auto"/>
        <w:ind w:left="360"/>
        <w:jc w:val="both"/>
        <w:rPr>
          <w:rFonts w:ascii="Arial" w:hAnsi="Arial"/>
          <w:noProof w:val="0"/>
        </w:rPr>
      </w:pPr>
      <w:r>
        <w:rPr>
          <w:rFonts w:ascii="Arial" w:hAnsi="Arial"/>
          <w:noProof w:val="0"/>
          <w:rtl/>
        </w:rPr>
        <w:t xml:space="preserve">כפועל יוצא, משק כנפי הפרפר בהליך האחד, שולח אדוות בהליך האחר – גם בכל הקשור עם ניהולו בפועל.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Pr>
      </w:pPr>
      <w:r>
        <w:rPr>
          <w:rFonts w:ascii="Arial" w:hAnsi="Arial"/>
          <w:noProof w:val="0"/>
          <w:rtl/>
        </w:rPr>
        <w:t xml:space="preserve">כך, מקום בו בעל דין איננו ממלא אחר הוראות שיפוטיות או מתנהל באופן החורג מהחובה לניהולם של ההליכים בתום לב בהליך אחד הקשור בטבורו כמפורט לעיל בהליך אחר, נוטל הוא סיכון, שמא אדוות אלה תגענה גם למרחב הדיוני של ההליך שבו הוא עצמו חפץ בקבלת סעד במסגרתו, ולא רק בהליך הספציפי שהסעד במסגרתו התבקש על ידי בר הפלוגתא שלו [על החובה לניהול הליך בתום לב השוו, למשל </w:t>
      </w:r>
      <w:r>
        <w:rPr>
          <w:rFonts w:ascii="David" w:hAnsi="David"/>
          <w:rtl/>
        </w:rPr>
        <w:t xml:space="preserve">בש"א 6479/06 </w:t>
      </w:r>
      <w:r>
        <w:rPr>
          <w:rFonts w:ascii="David" w:hAnsi="David"/>
          <w:b/>
          <w:bCs/>
          <w:rtl/>
        </w:rPr>
        <w:t>בנק דיסקונט לישראל נ' שנפ</w:t>
      </w:r>
      <w:r>
        <w:rPr>
          <w:rFonts w:ascii="David" w:hAnsi="David"/>
          <w:rtl/>
        </w:rPr>
        <w:t xml:space="preserve"> (מצוי במאגרים המשפטיים ; 15.1.07)]</w:t>
      </w:r>
      <w:r>
        <w:rPr>
          <w:rFonts w:ascii="Arial" w:hAnsi="Arial"/>
          <w:noProof w:val="0"/>
          <w:rtl/>
        </w:rPr>
        <w:t xml:space="preserve">. </w:t>
      </w:r>
    </w:p>
    <w:p w:rsidR="00222945" w:rsidRDefault="00222945" w:rsidP="00222945">
      <w:pPr>
        <w:pStyle w:val="ac"/>
        <w:spacing w:line="360" w:lineRule="auto"/>
        <w:ind w:left="360"/>
        <w:jc w:val="both"/>
        <w:rPr>
          <w:rFonts w:ascii="Arial" w:hAnsi="Arial"/>
          <w:noProof w:val="0"/>
          <w:rtl/>
        </w:rPr>
      </w:pPr>
      <w:r>
        <w:rPr>
          <w:rFonts w:ascii="Arial" w:hAnsi="Arial"/>
          <w:noProof w:val="0"/>
          <w:rtl/>
        </w:rPr>
        <w:t xml:space="preserve"> </w:t>
      </w:r>
    </w:p>
    <w:p w:rsidR="00222945" w:rsidRDefault="00222945" w:rsidP="00222945">
      <w:pPr>
        <w:pStyle w:val="ac"/>
        <w:numPr>
          <w:ilvl w:val="0"/>
          <w:numId w:val="6"/>
        </w:numPr>
        <w:spacing w:line="360" w:lineRule="auto"/>
        <w:ind w:left="360"/>
        <w:jc w:val="both"/>
        <w:rPr>
          <w:rFonts w:ascii="Arial" w:hAnsi="Arial"/>
          <w:noProof w:val="0"/>
        </w:rPr>
      </w:pPr>
      <w:r>
        <w:rPr>
          <w:rFonts w:ascii="Arial" w:hAnsi="Arial"/>
          <w:noProof w:val="0"/>
          <w:rtl/>
        </w:rPr>
        <w:t xml:space="preserve">בהתאם, מורנו הדין, כי בין היתר בית המשפט רשאי למחוק כתב תביעה מקום בו "... </w:t>
      </w:r>
      <w:r>
        <w:rPr>
          <w:rFonts w:ascii="Arial" w:hAnsi="Arial"/>
          <w:b/>
          <w:bCs/>
          <w:noProof w:val="0"/>
          <w:rtl/>
        </w:rPr>
        <w:t>התובע מתמיד, באופן שאינו מניח את הדעת, להימנע מלקיים הוראה מתקנות אלה או נמנע מלקיים החלטה או הוראה של בית המשפט</w:t>
      </w:r>
      <w:r>
        <w:rPr>
          <w:rFonts w:ascii="Arial" w:hAnsi="Arial"/>
          <w:noProof w:val="0"/>
          <w:rtl/>
        </w:rPr>
        <w:t xml:space="preserve">..." (תקנה 41(א)(3) </w:t>
      </w:r>
      <w:r>
        <w:rPr>
          <w:rFonts w:ascii="Arial" w:hAnsi="Arial"/>
          <w:b/>
          <w:bCs/>
          <w:noProof w:val="0"/>
          <w:rtl/>
        </w:rPr>
        <w:t>לתקנות סדר הדין האזרחי)</w:t>
      </w:r>
      <w:r>
        <w:rPr>
          <w:rFonts w:ascii="Arial" w:hAnsi="Arial"/>
          <w:noProof w:val="0"/>
          <w:rtl/>
        </w:rPr>
        <w:t xml:space="preserve">. </w:t>
      </w:r>
    </w:p>
    <w:p w:rsidR="00222945" w:rsidRDefault="00222945" w:rsidP="00222945">
      <w:pPr>
        <w:pStyle w:val="ac"/>
        <w:rPr>
          <w:rFonts w:ascii="Arial" w:hAnsi="Arial"/>
          <w:noProof w:val="0"/>
        </w:rPr>
      </w:pPr>
    </w:p>
    <w:p w:rsidR="00222945" w:rsidRDefault="00222945" w:rsidP="00222945">
      <w:pPr>
        <w:pStyle w:val="ac"/>
        <w:spacing w:line="360" w:lineRule="auto"/>
        <w:ind w:left="360"/>
        <w:jc w:val="both"/>
        <w:rPr>
          <w:rFonts w:ascii="Arial" w:hAnsi="Arial"/>
          <w:noProof w:val="0"/>
        </w:rPr>
      </w:pPr>
      <w:r>
        <w:rPr>
          <w:rFonts w:ascii="Arial" w:hAnsi="Arial"/>
          <w:noProof w:val="0"/>
          <w:rtl/>
        </w:rPr>
        <w:t xml:space="preserve">ודוקו – החלטה או הוראה שיפוטית, </w:t>
      </w:r>
      <w:r>
        <w:rPr>
          <w:rFonts w:ascii="Arial" w:hAnsi="Arial"/>
          <w:noProof w:val="0"/>
          <w:u w:val="single"/>
          <w:rtl/>
        </w:rPr>
        <w:t>ככלל</w:t>
      </w:r>
      <w:r>
        <w:rPr>
          <w:rFonts w:ascii="Arial" w:hAnsi="Arial"/>
          <w:noProof w:val="0"/>
          <w:rtl/>
        </w:rPr>
        <w:t xml:space="preserve">, ולא החלטה או הוראה בתובענה </w:t>
      </w:r>
      <w:r>
        <w:rPr>
          <w:rFonts w:ascii="Arial" w:hAnsi="Arial"/>
          <w:noProof w:val="0"/>
          <w:u w:val="single"/>
          <w:rtl/>
        </w:rPr>
        <w:t>ספציפית</w:t>
      </w:r>
      <w:r>
        <w:rPr>
          <w:rFonts w:ascii="Arial" w:hAnsi="Arial"/>
          <w:noProof w:val="0"/>
          <w:rtl/>
        </w:rPr>
        <w:t xml:space="preserve"> דווקא. </w:t>
      </w:r>
    </w:p>
    <w:p w:rsidR="00222945" w:rsidRDefault="00222945" w:rsidP="00222945">
      <w:pPr>
        <w:pStyle w:val="ac"/>
        <w:rPr>
          <w:rFonts w:ascii="Arial" w:hAnsi="Arial"/>
          <w:noProof w:val="0"/>
          <w:rtl/>
        </w:rPr>
      </w:pPr>
    </w:p>
    <w:p w:rsidR="00222945" w:rsidRDefault="00222945" w:rsidP="00222945">
      <w:pPr>
        <w:pStyle w:val="ac"/>
        <w:numPr>
          <w:ilvl w:val="0"/>
          <w:numId w:val="6"/>
        </w:numPr>
        <w:spacing w:line="360" w:lineRule="auto"/>
        <w:ind w:left="360"/>
        <w:jc w:val="both"/>
        <w:rPr>
          <w:rFonts w:ascii="Arial" w:hAnsi="Arial"/>
          <w:noProof w:val="0"/>
        </w:rPr>
      </w:pPr>
      <w:r>
        <w:rPr>
          <w:rFonts w:ascii="Arial" w:hAnsi="Arial"/>
          <w:noProof w:val="0"/>
          <w:rtl/>
        </w:rPr>
        <w:t xml:space="preserve">בהתאם, אף מורנו הדין כי אם "... </w:t>
      </w:r>
      <w:r>
        <w:rPr>
          <w:rFonts w:ascii="Arial" w:hAnsi="Arial"/>
          <w:b/>
          <w:bCs/>
          <w:noProof w:val="0"/>
          <w:rtl/>
        </w:rPr>
        <w:t>סבר בית המשפט שבעל דין עשה שימוש לרעה בהליכי משפט רשאי הוא, מטעם זה בלבד, למחוק את כתב טענותיו כולו או מקצתו</w:t>
      </w:r>
      <w:r>
        <w:rPr>
          <w:rFonts w:ascii="Arial" w:hAnsi="Arial"/>
          <w:noProof w:val="0"/>
          <w:rtl/>
        </w:rPr>
        <w:t xml:space="preserve">..." (תקנה 42 לתקנות סדר הדין האזרחי).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r>
        <w:rPr>
          <w:rFonts w:ascii="Arial" w:hAnsi="Arial"/>
          <w:noProof w:val="0"/>
          <w:rtl/>
        </w:rPr>
        <w:t xml:space="preserve">ודוקו – שימוש לרעה </w:t>
      </w:r>
      <w:r>
        <w:rPr>
          <w:rFonts w:ascii="Arial" w:hAnsi="Arial"/>
          <w:noProof w:val="0"/>
          <w:u w:val="single"/>
          <w:rtl/>
        </w:rPr>
        <w:t>בהליכי</w:t>
      </w:r>
      <w:r>
        <w:rPr>
          <w:rFonts w:ascii="Arial" w:hAnsi="Arial"/>
          <w:noProof w:val="0"/>
          <w:rtl/>
        </w:rPr>
        <w:t xml:space="preserve"> משפט ככלל, ולא </w:t>
      </w:r>
      <w:r>
        <w:rPr>
          <w:rFonts w:ascii="Arial" w:hAnsi="Arial"/>
          <w:noProof w:val="0"/>
          <w:u w:val="single"/>
          <w:rtl/>
        </w:rPr>
        <w:t>בהליך</w:t>
      </w:r>
      <w:r>
        <w:rPr>
          <w:rFonts w:ascii="Arial" w:hAnsi="Arial"/>
          <w:noProof w:val="0"/>
          <w:rtl/>
        </w:rPr>
        <w:t xml:space="preserve"> משפטי ספציפי. </w:t>
      </w:r>
    </w:p>
    <w:p w:rsidR="00222945" w:rsidRDefault="00222945" w:rsidP="00222945">
      <w:pPr>
        <w:pStyle w:val="ac"/>
        <w:spacing w:line="360" w:lineRule="auto"/>
        <w:ind w:left="360"/>
        <w:jc w:val="both"/>
        <w:rPr>
          <w:rFonts w:ascii="Arial" w:hAnsi="Arial"/>
          <w:noProof w:val="0"/>
          <w:rtl/>
        </w:rPr>
      </w:pPr>
      <w:r>
        <w:rPr>
          <w:rFonts w:ascii="Arial" w:hAnsi="Arial"/>
          <w:noProof w:val="0"/>
          <w:rtl/>
        </w:rPr>
        <w:t xml:space="preserve"> </w:t>
      </w:r>
    </w:p>
    <w:p w:rsidR="00222945" w:rsidRDefault="00222945" w:rsidP="00222945">
      <w:pPr>
        <w:pStyle w:val="ac"/>
        <w:numPr>
          <w:ilvl w:val="0"/>
          <w:numId w:val="6"/>
        </w:numPr>
        <w:spacing w:line="360" w:lineRule="auto"/>
        <w:ind w:left="360"/>
        <w:jc w:val="both"/>
        <w:rPr>
          <w:rFonts w:ascii="Arial" w:hAnsi="Arial"/>
          <w:noProof w:val="0"/>
          <w:rtl/>
        </w:rPr>
      </w:pPr>
      <w:r>
        <w:rPr>
          <w:rFonts w:ascii="Arial" w:hAnsi="Arial"/>
          <w:noProof w:val="0"/>
          <w:rtl/>
        </w:rPr>
        <w:t xml:space="preserve">מקום בו תמונת המצב העובדתית היא שבין היתר מעשיה ומחדליה של האם בתובענת האב מונעים להלכה ולמעשה את אפשרות חידוש הקשר בינו ובין ילדיהם הקטינים, הדין מאפשר – ובמקרה שלפני אף מחייב – את מחיקת תביעתה שלה למזונות. </w:t>
      </w:r>
    </w:p>
    <w:p w:rsidR="00222945" w:rsidRDefault="00222945" w:rsidP="00222945">
      <w:pPr>
        <w:pStyle w:val="ac"/>
        <w:spacing w:line="360" w:lineRule="auto"/>
        <w:ind w:left="360"/>
        <w:jc w:val="both"/>
        <w:rPr>
          <w:rFonts w:ascii="Arial" w:hAnsi="Arial"/>
          <w:noProof w:val="0"/>
        </w:rPr>
      </w:pPr>
    </w:p>
    <w:p w:rsidR="00222945" w:rsidRDefault="00222945" w:rsidP="00222945">
      <w:pPr>
        <w:pStyle w:val="ac"/>
        <w:numPr>
          <w:ilvl w:val="0"/>
          <w:numId w:val="6"/>
        </w:numPr>
        <w:spacing w:line="360" w:lineRule="auto"/>
        <w:ind w:left="360"/>
        <w:jc w:val="both"/>
        <w:rPr>
          <w:rFonts w:ascii="Arial" w:hAnsi="Arial"/>
          <w:noProof w:val="0"/>
        </w:rPr>
      </w:pPr>
      <w:r>
        <w:rPr>
          <w:rFonts w:ascii="Arial" w:hAnsi="Arial"/>
          <w:noProof w:val="0"/>
          <w:rtl/>
        </w:rPr>
        <w:t xml:space="preserve">זהו לטעמי הסעד המאוזן ביותר בנסיבות העניין. סעד אשר מחד גיסא ישמש כהליך בעל נפקות אכיפתית, נוכח משמעותו הדיונית בהקשרנו ;  ומאידך גיסא, לא יהיה בבחינת מעשה בית דין של ממש (כפי שמלמדת תקנה 41(ב) </w:t>
      </w:r>
      <w:r>
        <w:rPr>
          <w:rFonts w:ascii="Arial" w:hAnsi="Arial"/>
          <w:b/>
          <w:bCs/>
          <w:noProof w:val="0"/>
          <w:rtl/>
        </w:rPr>
        <w:t>לתקנות סדר הדין האזרחי</w:t>
      </w:r>
      <w:r>
        <w:rPr>
          <w:rFonts w:ascii="Arial" w:hAnsi="Arial"/>
          <w:noProof w:val="0"/>
          <w:rtl/>
        </w:rPr>
        <w:t xml:space="preserve">).  </w:t>
      </w:r>
    </w:p>
    <w:p w:rsidR="00222945" w:rsidRDefault="00222945" w:rsidP="00222945">
      <w:pPr>
        <w:pStyle w:val="ac"/>
        <w:rPr>
          <w:rFonts w:ascii="Arial" w:hAnsi="Arial"/>
          <w:noProof w:val="0"/>
        </w:rPr>
      </w:pPr>
    </w:p>
    <w:p w:rsidR="00222945" w:rsidRDefault="00222945" w:rsidP="00222945">
      <w:pPr>
        <w:pStyle w:val="ac"/>
        <w:numPr>
          <w:ilvl w:val="0"/>
          <w:numId w:val="6"/>
        </w:numPr>
        <w:spacing w:line="360" w:lineRule="auto"/>
        <w:ind w:left="360"/>
        <w:jc w:val="both"/>
        <w:rPr>
          <w:rFonts w:ascii="Arial" w:hAnsi="Arial"/>
          <w:noProof w:val="0"/>
        </w:rPr>
      </w:pPr>
      <w:r>
        <w:rPr>
          <w:rFonts w:ascii="Arial" w:hAnsi="Arial"/>
          <w:noProof w:val="0"/>
          <w:rtl/>
        </w:rPr>
        <w:t xml:space="preserve">יותר מכך, במחיקתה של התביעה יהא משום הצבת האינטרס הספציפי של האם בפריזמה מאוזנת הרבה יותר ; אשר תביא בחשבון לא רק את עניינה המוצהר שהאב ישלם לה עבור צרכי ילדיהם, כי אם תידרש לתשומות השיפוט והמינהל הרבות – תשומות ציבוריות במובהק – אשר הוכברו בהליכים שלפני על חשבונם של מתדיינים אחרים, ואשר הושמו לאל במעשיה ומחדליה של האם עצמה [בהקשרים אלה השוו: ע"א 6460/21 </w:t>
      </w:r>
      <w:r>
        <w:rPr>
          <w:rFonts w:ascii="Arial" w:hAnsi="Arial"/>
          <w:b/>
          <w:bCs/>
          <w:noProof w:val="0"/>
          <w:rtl/>
        </w:rPr>
        <w:t>פרץ נ' כהן</w:t>
      </w:r>
      <w:r>
        <w:rPr>
          <w:rFonts w:ascii="Arial" w:hAnsi="Arial"/>
          <w:noProof w:val="0"/>
          <w:rtl/>
        </w:rPr>
        <w:t xml:space="preserve"> (מצוי במאגרים המשפטיים ; 18.6.23)]. </w:t>
      </w:r>
    </w:p>
    <w:p w:rsidR="00222945" w:rsidRDefault="00222945" w:rsidP="00222945">
      <w:pPr>
        <w:pStyle w:val="ac"/>
        <w:rPr>
          <w:rFonts w:ascii="Arial" w:hAnsi="Arial"/>
          <w:noProof w:val="0"/>
          <w:rtl/>
        </w:rPr>
      </w:pPr>
    </w:p>
    <w:p w:rsidR="00222945" w:rsidRDefault="00222945" w:rsidP="00222945">
      <w:pPr>
        <w:pStyle w:val="ac"/>
        <w:numPr>
          <w:ilvl w:val="0"/>
          <w:numId w:val="6"/>
        </w:numPr>
        <w:spacing w:line="360" w:lineRule="auto"/>
        <w:ind w:left="360"/>
        <w:jc w:val="both"/>
        <w:rPr>
          <w:rFonts w:ascii="Arial" w:hAnsi="Arial"/>
          <w:noProof w:val="0"/>
          <w:rtl/>
        </w:rPr>
      </w:pPr>
      <w:r>
        <w:rPr>
          <w:rFonts w:ascii="Arial" w:hAnsi="Arial"/>
          <w:noProof w:val="0"/>
          <w:rtl/>
        </w:rPr>
        <w:t xml:space="preserve">ישאל השואל מה יעלה בגורל אינטרס הקטינים למלא צרכיהם. האם אין במחיקתה של תביעת המזונות משום פגיעה בקטינים עצמם? על שאלה זו יש להשיב בשלילה, מצבר של נימוקים – מהותיים ודיוניים כאחד.  </w:t>
      </w:r>
    </w:p>
    <w:p w:rsidR="00222945" w:rsidRDefault="00222945" w:rsidP="00222945">
      <w:pPr>
        <w:pStyle w:val="ac"/>
        <w:rPr>
          <w:rFonts w:ascii="Arial" w:hAnsi="Arial"/>
          <w:noProof w:val="0"/>
          <w:rtl/>
        </w:rPr>
      </w:pPr>
    </w:p>
    <w:p w:rsidR="00222945" w:rsidRDefault="00222945" w:rsidP="00222945">
      <w:pPr>
        <w:pStyle w:val="ac"/>
        <w:spacing w:line="360" w:lineRule="auto"/>
        <w:ind w:left="360"/>
        <w:jc w:val="both"/>
        <w:rPr>
          <w:rFonts w:ascii="Arial" w:hAnsi="Arial"/>
          <w:noProof w:val="0"/>
        </w:rPr>
      </w:pPr>
      <w:r>
        <w:rPr>
          <w:rFonts w:ascii="Arial" w:hAnsi="Arial"/>
          <w:b/>
          <w:bCs/>
          <w:noProof w:val="0"/>
          <w:rtl/>
        </w:rPr>
        <w:t>ראשית</w:t>
      </w:r>
      <w:r>
        <w:rPr>
          <w:rFonts w:ascii="Arial" w:hAnsi="Arial"/>
          <w:noProof w:val="0"/>
          <w:rtl/>
        </w:rPr>
        <w:t xml:space="preserve">, מקום בו כאמור לעיל, מחיקתה של תביעה איננה בבחינת מעשה בית דין, על כל המשתמע מכך.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r>
        <w:rPr>
          <w:rFonts w:ascii="Arial" w:hAnsi="Arial"/>
          <w:b/>
          <w:bCs/>
          <w:noProof w:val="0"/>
          <w:rtl/>
        </w:rPr>
        <w:t>שנית</w:t>
      </w:r>
      <w:r>
        <w:rPr>
          <w:rFonts w:ascii="Arial" w:hAnsi="Arial"/>
          <w:noProof w:val="0"/>
          <w:rtl/>
        </w:rPr>
        <w:t xml:space="preserve">, בנסיבות בהן במשך שנים לא מעטות, התנהלותה של האם הובילה לכך שבפועל, ניתן בעיקר (ואולי אך ורק) דגש לצרכיהם החומריים של הקטינים אצל אימם בדמות המשך יישום החלטה זמנית למזונות גרידא. מקום בו האם סיכלה את האפשרות להידרש לצרכיהם הרגשיים וההתפתחותיים בקשר עם אביהם, מחיקת התביעה תביא ולו בכח לאפשרות שצרכים אלה יקבלו גם הם את מקומם הראוי בבחינת טובתם. שכן כידוע, טובתם של קטינים איננה מתמצה אך ורק בשאלה מי יישא בצרכיהם ובאיזה שיעור ; טובת קטינים היא בבחינת אגד שלם של זכויות, צרכים  ואינטרסים, שלכל הפחות את מילוי חלקם איננה מאפשרת האם במשך שנים לא מעטות.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r>
        <w:rPr>
          <w:rFonts w:ascii="Arial" w:hAnsi="Arial"/>
          <w:b/>
          <w:bCs/>
          <w:noProof w:val="0"/>
          <w:rtl/>
        </w:rPr>
        <w:t>שלישית,</w:t>
      </w:r>
      <w:r>
        <w:rPr>
          <w:rFonts w:ascii="Arial" w:hAnsi="Arial"/>
          <w:noProof w:val="0"/>
          <w:rtl/>
        </w:rPr>
        <w:t xml:space="preserve"> יש לזכור כי תביעת המזונות היא למעשה תביעה כספית לחיוב מתחדש בין </w:t>
      </w:r>
      <w:r>
        <w:rPr>
          <w:rFonts w:ascii="Arial" w:hAnsi="Arial"/>
          <w:b/>
          <w:bCs/>
          <w:noProof w:val="0"/>
          <w:rtl/>
        </w:rPr>
        <w:t>הבגירים</w:t>
      </w:r>
      <w:r>
        <w:rPr>
          <w:rFonts w:ascii="Arial" w:hAnsi="Arial"/>
          <w:noProof w:val="0"/>
          <w:rtl/>
        </w:rPr>
        <w:t xml:space="preserve"> שבחיי הקטינים. עסקינן בקטינים שגם בהליך שלפני </w:t>
      </w:r>
      <w:r>
        <w:rPr>
          <w:rFonts w:ascii="Arial" w:hAnsi="Arial"/>
          <w:b/>
          <w:bCs/>
          <w:noProof w:val="0"/>
          <w:rtl/>
        </w:rPr>
        <w:t>זוכים לייצוג</w:t>
      </w:r>
      <w:r>
        <w:rPr>
          <w:rFonts w:ascii="Arial" w:hAnsi="Arial"/>
          <w:noProof w:val="0"/>
          <w:rtl/>
        </w:rPr>
        <w:t xml:space="preserve">, ועל פי הדין, אין כל מניעה שקטינים יעתרו למילוי צרכיהם החומריים בדמות הגשת תביעה עצמאית למזונות. יותר מכך, בנסיבות שלפני, בהן ממילא הקונפליקט ההורי הוביל למיקוד הפריזמה בראש ובראשונה על עניינם של הקטינים תוך שבית המשפט שב והציע לגורמי הרווחה לשוב ולעשות שימוש בסמכות הקנויה להם בהתאם להוראות </w:t>
      </w:r>
      <w:r>
        <w:rPr>
          <w:rFonts w:ascii="Arial" w:hAnsi="Arial"/>
          <w:b/>
          <w:bCs/>
          <w:noProof w:val="0"/>
          <w:rtl/>
        </w:rPr>
        <w:t xml:space="preserve">חוק הנוער </w:t>
      </w:r>
      <w:r>
        <w:rPr>
          <w:rFonts w:ascii="Arial" w:hAnsi="Arial"/>
          <w:noProof w:val="0"/>
          <w:rtl/>
        </w:rPr>
        <w:t xml:space="preserve">ולבחון הכרזתם </w:t>
      </w:r>
      <w:r>
        <w:rPr>
          <w:rFonts w:ascii="Arial" w:hAnsi="Arial"/>
          <w:noProof w:val="0"/>
          <w:u w:val="single"/>
          <w:rtl/>
        </w:rPr>
        <w:t>כקטינים נזקקים</w:t>
      </w:r>
      <w:r>
        <w:rPr>
          <w:rFonts w:ascii="Arial" w:hAnsi="Arial"/>
          <w:noProof w:val="0"/>
          <w:rtl/>
        </w:rPr>
        <w:t xml:space="preserve">,  יותר מסבירה המסקנה שגם השאלה מי יישא בצרכיהם ובאלו שיעורים, תיבחן באמצעות פריזמה ישירה זו, ולא בהמשך ההתכתשות האדברסרית שבין ההורים עצמם.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r>
        <w:rPr>
          <w:rFonts w:ascii="Arial" w:hAnsi="Arial"/>
          <w:b/>
          <w:bCs/>
          <w:noProof w:val="0"/>
          <w:rtl/>
        </w:rPr>
        <w:t>רביעית</w:t>
      </w:r>
      <w:r>
        <w:rPr>
          <w:rFonts w:ascii="Arial" w:hAnsi="Arial"/>
          <w:noProof w:val="0"/>
          <w:rtl/>
        </w:rPr>
        <w:t xml:space="preserve">, כאמור לעיל, מקום בו התנהלותה של האם מעכבת ובפועל מונעת אפשרות לקבוע ממצאי עובדה בכל הנוגע לתובענת האב ובפועל לקבוע מסמרות בשאלות היום-יום מתחום האחריות ההורית, ממילא  נמצאת האם מסכלת את האפשרות לקדם את קביעת הממצאים והמסקנות בתובענה שהיא עצמה הגישה. שכן במיוחד בהתחשב בדין החל על עניין ההורים והילדים, חדלונה של תביעת האב לאחריות הורית בהכרח מוביל לחדלון תביעתה של האם למזונות. </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r>
        <w:rPr>
          <w:rFonts w:ascii="Arial" w:hAnsi="Arial"/>
          <w:noProof w:val="0"/>
          <w:rtl/>
        </w:rPr>
        <w:t>כל אלה מובילים למסקנה שלהלכה ולמעשה, דווקא במחיקתה של תביעת האם למזונות יש משום פוטנציאל חיובי לעשייה לטובת מכלול צרכיהם, זכויותיהם והאינטרסים של ילדי הצדדים עצמם – והפעם בראש ובראשונה מנקודת מבטם ולא מנקודת מבטם של ההורים.</w:t>
      </w:r>
    </w:p>
    <w:p w:rsidR="00222945" w:rsidRDefault="00222945" w:rsidP="00222945">
      <w:pPr>
        <w:pStyle w:val="ac"/>
        <w:spacing w:line="360" w:lineRule="auto"/>
        <w:ind w:left="360"/>
        <w:jc w:val="both"/>
        <w:rPr>
          <w:rFonts w:ascii="Arial" w:hAnsi="Arial"/>
          <w:noProof w:val="0"/>
          <w:rtl/>
        </w:rPr>
      </w:pPr>
    </w:p>
    <w:p w:rsidR="00222945" w:rsidRDefault="00222945" w:rsidP="00222945">
      <w:pPr>
        <w:pStyle w:val="ac"/>
        <w:spacing w:line="360" w:lineRule="auto"/>
        <w:ind w:left="360"/>
        <w:jc w:val="both"/>
        <w:rPr>
          <w:rFonts w:ascii="Arial" w:hAnsi="Arial"/>
          <w:noProof w:val="0"/>
          <w:rtl/>
        </w:rPr>
      </w:pPr>
      <w:r>
        <w:rPr>
          <w:rFonts w:ascii="Arial" w:hAnsi="Arial"/>
          <w:noProof w:val="0"/>
          <w:rtl/>
        </w:rPr>
        <w:t>אלה גם ההנמקות שלפיהן, גם אם בעתיד הנראה לעין תוגש תביעה חדשה בעניין מזונות הקטינים, על תביעה שכזו להתנהל "דה-נובו", בראיה ממוקדת צרכי הילדים, ומבלי שהסכסוך ההורי דווקא הוא שיעמוד במרכז.</w:t>
      </w:r>
    </w:p>
    <w:p w:rsidR="00222945" w:rsidRDefault="00222945" w:rsidP="00222945">
      <w:pPr>
        <w:pStyle w:val="ac"/>
        <w:rPr>
          <w:rFonts w:ascii="Arial" w:hAnsi="Arial"/>
          <w:noProof w:val="0"/>
          <w:rtl/>
        </w:rPr>
      </w:pPr>
    </w:p>
    <w:p w:rsidR="00222945" w:rsidRDefault="00222945" w:rsidP="00222945">
      <w:pPr>
        <w:pStyle w:val="ac"/>
        <w:numPr>
          <w:ilvl w:val="0"/>
          <w:numId w:val="6"/>
        </w:numPr>
        <w:spacing w:line="360" w:lineRule="auto"/>
        <w:ind w:left="360"/>
        <w:jc w:val="both"/>
        <w:rPr>
          <w:rFonts w:ascii="Arial" w:hAnsi="Arial"/>
          <w:noProof w:val="0"/>
          <w:rtl/>
        </w:rPr>
      </w:pPr>
      <w:r>
        <w:rPr>
          <w:rFonts w:ascii="Arial" w:hAnsi="Arial"/>
          <w:noProof w:val="0"/>
          <w:rtl/>
        </w:rPr>
        <w:t>לאם ניתנו התראות רבות לאורך ההליכים. בעת הזו, לאור מכלול האמור לעיל ; לאחר קרוב לארבע שנים מאז החל הליך מזונות הקטינים שהוגש על ידי האם ועוכב בינתיים; לאחר שכלו כל הקיצין והאם מתמידה בהתנהלות שאינה מאפשרת הבניית קשר בין האב לקטינים</w:t>
      </w:r>
      <w:r>
        <w:rPr>
          <w:rFonts w:ascii="Arial" w:hAnsi="Arial"/>
          <w:noProof w:val="0"/>
        </w:rPr>
        <w:t xml:space="preserve"> ;</w:t>
      </w:r>
      <w:r>
        <w:rPr>
          <w:rFonts w:ascii="Arial" w:hAnsi="Arial"/>
          <w:noProof w:val="0"/>
          <w:rtl/>
        </w:rPr>
        <w:t xml:space="preserve">  בנסיבות בהן בנקודת הזמן הנוכחית ספק אם מתן היתר להמשיך מאותה נקודה את עתירתה לחיוב האב במזונות עולה בקנה אחד עם חובתה לנהל הליך בתום לב ; בשים לב להוראות תקנות 41 ו-  42 </w:t>
      </w:r>
      <w:r>
        <w:rPr>
          <w:rFonts w:ascii="Arial" w:hAnsi="Arial"/>
          <w:b/>
          <w:bCs/>
          <w:noProof w:val="0"/>
          <w:rtl/>
        </w:rPr>
        <w:t>לתקנות סדר הדין האזרחי</w:t>
      </w:r>
      <w:r>
        <w:rPr>
          <w:rFonts w:ascii="Arial" w:hAnsi="Arial"/>
          <w:noProof w:val="0"/>
          <w:rtl/>
        </w:rPr>
        <w:t xml:space="preserve">;  באיזון בין האינטרס של האם לבין האינטרס הציבורי כמו גם אינטרס האב עצמו ואינטרס הילדים גם לבסס קשר עם האב – זכות שלעת הזו יש להמשיך וליתן לה בכורה ; וכשאמצעים קודמים שננקטו לא הוכיחו אפקטיביות ; אני מוצא להורות על מחיקת התובענה למזונות קטינים, תלה"מ 42869-03-21. </w:t>
      </w:r>
    </w:p>
    <w:p w:rsidR="00222945" w:rsidRDefault="00222945" w:rsidP="00222945">
      <w:pPr>
        <w:spacing w:line="360" w:lineRule="auto"/>
        <w:ind w:left="360"/>
        <w:jc w:val="both"/>
        <w:rPr>
          <w:rFonts w:ascii="Arial" w:hAnsi="Arial"/>
          <w:noProof w:val="0"/>
        </w:rPr>
      </w:pPr>
      <w:r>
        <w:rPr>
          <w:rFonts w:ascii="Arial" w:hAnsi="Arial"/>
          <w:noProof w:val="0"/>
          <w:rtl/>
        </w:rPr>
        <w:t xml:space="preserve">בשים לב להנמקותיי דלעיל ובראי האמור בסיפא לתקנה 41(ג)(1) </w:t>
      </w:r>
      <w:r>
        <w:rPr>
          <w:rFonts w:ascii="Arial" w:hAnsi="Arial"/>
          <w:b/>
          <w:bCs/>
          <w:noProof w:val="0"/>
          <w:rtl/>
        </w:rPr>
        <w:t>לתקנות סדר הדין האזרחי</w:t>
      </w:r>
      <w:r>
        <w:rPr>
          <w:rFonts w:ascii="Arial" w:hAnsi="Arial"/>
          <w:noProof w:val="0"/>
          <w:rtl/>
        </w:rPr>
        <w:t xml:space="preserve">, אני קובע כי ככל שתוגש תובענה חדשה בעניינם של מזונות הקטינים, זו תנוהל </w:t>
      </w:r>
      <w:r>
        <w:rPr>
          <w:rFonts w:ascii="Arial" w:hAnsi="Arial"/>
          <w:b/>
          <w:bCs/>
          <w:noProof w:val="0"/>
          <w:rtl/>
        </w:rPr>
        <w:t>מראשיתה</w:t>
      </w:r>
      <w:r>
        <w:rPr>
          <w:rFonts w:ascii="Arial" w:hAnsi="Arial"/>
          <w:noProof w:val="0"/>
          <w:rtl/>
        </w:rPr>
        <w:t xml:space="preserve">, ולא מהשלב שבו נמחקה תובענת המזונות שבכותרת. </w:t>
      </w:r>
    </w:p>
    <w:p w:rsidR="00222945" w:rsidRDefault="00222945" w:rsidP="00222945">
      <w:pPr>
        <w:spacing w:line="360" w:lineRule="auto"/>
        <w:jc w:val="both"/>
        <w:rPr>
          <w:rFonts w:ascii="Arial" w:hAnsi="Arial"/>
          <w:b/>
          <w:bCs/>
          <w:noProof w:val="0"/>
        </w:rPr>
      </w:pPr>
    </w:p>
    <w:p w:rsidR="00222945" w:rsidRDefault="00222945" w:rsidP="00222945">
      <w:pPr>
        <w:spacing w:line="360" w:lineRule="auto"/>
        <w:ind w:left="360"/>
        <w:jc w:val="both"/>
        <w:rPr>
          <w:rFonts w:ascii="Arial" w:hAnsi="Arial"/>
          <w:b/>
          <w:bCs/>
          <w:noProof w:val="0"/>
          <w:rtl/>
        </w:rPr>
      </w:pPr>
      <w:r>
        <w:rPr>
          <w:rFonts w:ascii="Arial" w:hAnsi="Arial"/>
          <w:b/>
          <w:bCs/>
          <w:noProof w:val="0"/>
          <w:rtl/>
        </w:rPr>
        <w:t xml:space="preserve">החלטה זו הינה בבחינת פסק דין בתלה"מ 42869-03-21, ואני מורה על סגירת התיק. </w:t>
      </w:r>
    </w:p>
    <w:p w:rsidR="00222945" w:rsidRDefault="00222945" w:rsidP="00222945">
      <w:pPr>
        <w:spacing w:line="360" w:lineRule="auto"/>
        <w:jc w:val="both"/>
        <w:rPr>
          <w:rFonts w:ascii="Arial" w:hAnsi="Arial"/>
          <w:b/>
          <w:bCs/>
          <w:noProof w:val="0"/>
          <w:rtl/>
        </w:rPr>
      </w:pPr>
    </w:p>
    <w:p w:rsidR="00222945" w:rsidRDefault="00222945" w:rsidP="00222945">
      <w:pPr>
        <w:pStyle w:val="ac"/>
        <w:numPr>
          <w:ilvl w:val="0"/>
          <w:numId w:val="6"/>
        </w:numPr>
        <w:spacing w:line="360" w:lineRule="auto"/>
        <w:ind w:left="360"/>
        <w:jc w:val="both"/>
        <w:rPr>
          <w:rFonts w:ascii="Arial" w:hAnsi="Arial"/>
          <w:b/>
          <w:bCs/>
          <w:noProof w:val="0"/>
          <w:rtl/>
        </w:rPr>
      </w:pPr>
      <w:r>
        <w:rPr>
          <w:rFonts w:ascii="Arial" w:hAnsi="Arial"/>
          <w:b/>
          <w:bCs/>
          <w:noProof w:val="0"/>
          <w:rtl/>
        </w:rPr>
        <w:t xml:space="preserve">נוכח מכלול האמור בהחלטה זו כמו גם בהחלטותיי הקודמות, נוכח הנתק המתמשך שבין האב ובין הילדים, והפגיעה הנמשכת בהם, תעביר המזכירות העתק מהחלטתי זו לעו"ס לחוק הנער כמו גם למפקחת המחוזית לחוק הנוער, אשר מתבקשות לבחון – פעם נוספת – את האפשרות להציב את עניינם של הקטינים במוקד, בראי ההליכים הייעודיים מתחום חוק הנוער. </w:t>
      </w:r>
    </w:p>
    <w:p w:rsidR="00222945" w:rsidRDefault="00222945" w:rsidP="00222945">
      <w:pPr>
        <w:pStyle w:val="ac"/>
        <w:spacing w:line="360" w:lineRule="auto"/>
        <w:ind w:left="360"/>
        <w:jc w:val="both"/>
        <w:rPr>
          <w:rFonts w:ascii="Arial" w:hAnsi="Arial"/>
          <w:b/>
          <w:bCs/>
          <w:noProof w:val="0"/>
        </w:rPr>
      </w:pPr>
    </w:p>
    <w:p w:rsidR="00222945" w:rsidRDefault="00222945" w:rsidP="00222945">
      <w:pPr>
        <w:pStyle w:val="ac"/>
        <w:numPr>
          <w:ilvl w:val="0"/>
          <w:numId w:val="6"/>
        </w:numPr>
        <w:spacing w:line="360" w:lineRule="auto"/>
        <w:ind w:left="360"/>
        <w:jc w:val="both"/>
        <w:rPr>
          <w:rFonts w:ascii="Arial" w:hAnsi="Arial"/>
          <w:b/>
          <w:bCs/>
          <w:noProof w:val="0"/>
        </w:rPr>
      </w:pPr>
      <w:r>
        <w:rPr>
          <w:rFonts w:ascii="Arial" w:hAnsi="Arial"/>
          <w:b/>
          <w:bCs/>
          <w:noProof w:val="0"/>
          <w:rtl/>
        </w:rPr>
        <w:t xml:space="preserve">בהתחשב במכלול האמור לעיל, שעה שלא מן הנמנע כי עניינם של הקטינים מצריך בחינה בראי חוק הנוער, ככל שהאב לא יפנה בכל בקשה אחרת בתביעת האחריות ההורית עד ליום 10.1.25, בחלוף המועד שנקצב יונח כי גם ההליך הנוסף מוצה, מבלי שיהא בכך למנוע גם מגורמי הרווחה לנקוט בהליכים אחרים על פי חוק הנוער. </w:t>
      </w:r>
    </w:p>
    <w:p w:rsidR="00222945" w:rsidRDefault="00222945" w:rsidP="00222945">
      <w:pPr>
        <w:pStyle w:val="ac"/>
        <w:rPr>
          <w:rFonts w:ascii="Arial" w:hAnsi="Arial"/>
          <w:noProof w:val="0"/>
        </w:rPr>
      </w:pPr>
    </w:p>
    <w:p w:rsidR="00222945" w:rsidRDefault="00222945" w:rsidP="00177C90">
      <w:pPr>
        <w:pStyle w:val="ac"/>
        <w:numPr>
          <w:ilvl w:val="0"/>
          <w:numId w:val="6"/>
        </w:numPr>
        <w:spacing w:line="360" w:lineRule="auto"/>
        <w:ind w:left="360"/>
        <w:jc w:val="both"/>
        <w:rPr>
          <w:rFonts w:ascii="Arial" w:hAnsi="Arial"/>
          <w:noProof w:val="0"/>
          <w:rtl/>
        </w:rPr>
      </w:pPr>
      <w:r>
        <w:rPr>
          <w:rFonts w:ascii="Arial" w:hAnsi="Arial"/>
          <w:noProof w:val="0"/>
          <w:rtl/>
        </w:rPr>
        <w:t xml:space="preserve">בנוסף, וככל שהאם לא הסדירה את חלקה בתשלום חוות הדעת למטפלת הגב' </w:t>
      </w:r>
      <w:r w:rsidR="00177C90">
        <w:rPr>
          <w:rFonts w:ascii="Arial" w:hAnsi="Arial" w:hint="cs"/>
          <w:noProof w:val="0"/>
        </w:rPr>
        <w:t>Z</w:t>
      </w:r>
      <w:r>
        <w:rPr>
          <w:rFonts w:ascii="Arial" w:hAnsi="Arial"/>
          <w:noProof w:val="0"/>
          <w:rtl/>
        </w:rPr>
        <w:t>, תעשה כן ללא דיחוי תוך שמובהר כי מדובר בחיוב בר אכיפה של ממש על כל המשתמע מכך  ככל שיידרש.</w:t>
      </w:r>
    </w:p>
    <w:p w:rsidR="00222945" w:rsidRDefault="00222945" w:rsidP="00222945">
      <w:pPr>
        <w:pStyle w:val="ac"/>
        <w:spacing w:line="360" w:lineRule="auto"/>
        <w:ind w:left="360"/>
        <w:jc w:val="both"/>
        <w:rPr>
          <w:rFonts w:ascii="Arial" w:hAnsi="Arial"/>
          <w:noProof w:val="0"/>
        </w:rPr>
      </w:pPr>
    </w:p>
    <w:p w:rsidR="00222945" w:rsidRDefault="00222945" w:rsidP="00222945">
      <w:pPr>
        <w:pStyle w:val="ac"/>
        <w:spacing w:line="360" w:lineRule="auto"/>
        <w:ind w:left="360"/>
        <w:jc w:val="both"/>
        <w:rPr>
          <w:rFonts w:ascii="Arial" w:hAnsi="Arial"/>
          <w:noProof w:val="0"/>
          <w:rtl/>
        </w:rPr>
      </w:pPr>
      <w:r>
        <w:rPr>
          <w:rFonts w:ascii="Arial" w:hAnsi="Arial"/>
          <w:b/>
          <w:bCs/>
          <w:noProof w:val="0"/>
          <w:rtl/>
        </w:rPr>
        <w:t>החלטה זו מותרת בפרסום בהשמטת מלוא פרטיהם המזהים של הצדדים ובני משפחתם</w:t>
      </w:r>
      <w:r>
        <w:rPr>
          <w:rFonts w:ascii="Arial" w:hAnsi="Arial"/>
          <w:noProof w:val="0"/>
          <w:rtl/>
        </w:rPr>
        <w:t xml:space="preserve">. </w:t>
      </w:r>
    </w:p>
    <w:p w:rsidR="00222945" w:rsidRDefault="00222945" w:rsidP="00222945">
      <w:pPr>
        <w:pStyle w:val="ac"/>
        <w:spacing w:line="360" w:lineRule="auto"/>
        <w:ind w:left="360"/>
        <w:jc w:val="both"/>
        <w:rPr>
          <w:rFonts w:ascii="Arial" w:hAnsi="Arial"/>
          <w:noProof w:val="0"/>
          <w:rtl/>
        </w:rPr>
      </w:pPr>
    </w:p>
    <w:p w:rsidR="00222945" w:rsidRDefault="00222945" w:rsidP="00177C90">
      <w:pPr>
        <w:pStyle w:val="ac"/>
        <w:spacing w:line="360" w:lineRule="auto"/>
        <w:ind w:left="360"/>
        <w:jc w:val="both"/>
        <w:rPr>
          <w:rFonts w:ascii="Arial" w:hAnsi="Arial"/>
          <w:b/>
          <w:bCs/>
          <w:noProof w:val="0"/>
          <w:rtl/>
        </w:rPr>
      </w:pPr>
      <w:r>
        <w:rPr>
          <w:rFonts w:ascii="Arial" w:hAnsi="Arial"/>
          <w:b/>
          <w:bCs/>
          <w:noProof w:val="0"/>
          <w:rtl/>
        </w:rPr>
        <w:t xml:space="preserve">המזכירות תמציא את ההחלטה לצדדים; לאפוטרופא לדין; לעו"ס לחוק נוער  ; למפקחת המחוזית לחוק הנוער ; לעו"ס לסדרי דין ולמטפלת הגב' </w:t>
      </w:r>
      <w:r w:rsidR="00177C90">
        <w:rPr>
          <w:rFonts w:ascii="Arial" w:hAnsi="Arial" w:hint="cs"/>
          <w:b/>
          <w:bCs/>
          <w:noProof w:val="0"/>
        </w:rPr>
        <w:t>Z</w:t>
      </w:r>
      <w:r>
        <w:rPr>
          <w:rFonts w:ascii="Arial" w:hAnsi="Arial"/>
          <w:b/>
          <w:bCs/>
          <w:noProof w:val="0"/>
          <w:rtl/>
        </w:rPr>
        <w:t xml:space="preserve">. </w:t>
      </w:r>
      <w:r>
        <w:rPr>
          <w:rFonts w:ascii="Arial" w:hAnsi="Arial"/>
          <w:b/>
          <w:bCs/>
          <w:noProof w:val="0"/>
          <w:u w:val="single"/>
          <w:rtl/>
        </w:rPr>
        <w:t>כן תסגור המזכירות את תיק תלה"מ 42869-03-21</w:t>
      </w:r>
      <w:r>
        <w:rPr>
          <w:rFonts w:ascii="Arial" w:hAnsi="Arial"/>
          <w:b/>
          <w:bCs/>
          <w:noProof w:val="0"/>
          <w:rtl/>
        </w:rPr>
        <w:t xml:space="preserve">. </w:t>
      </w:r>
    </w:p>
    <w:p w:rsidR="00222945" w:rsidRDefault="00222945" w:rsidP="00222945">
      <w:pPr>
        <w:spacing w:line="360" w:lineRule="auto"/>
        <w:jc w:val="both"/>
        <w:rPr>
          <w:rFonts w:ascii="Arial" w:hAnsi="Arial"/>
          <w:noProof w:val="0"/>
          <w:rtl/>
        </w:rPr>
      </w:pPr>
    </w:p>
    <w:p w:rsidR="00222945" w:rsidRDefault="00222945" w:rsidP="00222945">
      <w:pPr>
        <w:spacing w:line="360" w:lineRule="auto"/>
        <w:ind w:firstLine="360"/>
        <w:jc w:val="both"/>
        <w:rPr>
          <w:rFonts w:ascii="Arial" w:hAnsi="Arial"/>
          <w:noProof w:val="0"/>
          <w:rtl/>
        </w:rPr>
      </w:pPr>
      <w:r>
        <w:rPr>
          <w:rFonts w:ascii="Arial" w:hAnsi="Arial"/>
          <w:noProof w:val="0"/>
          <w:rtl/>
        </w:rPr>
        <w:t xml:space="preserve">ניתנה היום, </w:t>
      </w:r>
      <w:sdt>
        <w:sdtPr>
          <w:rPr>
            <w:rtl/>
          </w:rPr>
          <w:alias w:val="1455"/>
          <w:tag w:val="1455"/>
          <w:id w:val="1666048407"/>
          <w:text w:multiLine="1"/>
        </w:sdtPr>
        <w:sdtEndPr/>
        <w:sdtContent>
          <w:r>
            <w:rPr>
              <w:rFonts w:ascii="Arial" w:hAnsi="Arial"/>
              <w:noProof w:val="0"/>
              <w:rtl/>
            </w:rPr>
            <w:t>כ"ח כסלו תשפ"ה</w:t>
          </w:r>
        </w:sdtContent>
      </w:sdt>
      <w:r>
        <w:rPr>
          <w:rFonts w:ascii="Arial" w:hAnsi="Arial"/>
          <w:noProof w:val="0"/>
          <w:rtl/>
        </w:rPr>
        <w:t xml:space="preserve">, </w:t>
      </w:r>
      <w:sdt>
        <w:sdtPr>
          <w:rPr>
            <w:rtl/>
          </w:rPr>
          <w:alias w:val="1456"/>
          <w:tag w:val="1456"/>
          <w:id w:val="-1186288958"/>
          <w:text w:multiLine="1"/>
        </w:sdtPr>
        <w:sdtEndPr/>
        <w:sdtContent>
          <w:r>
            <w:rPr>
              <w:rFonts w:ascii="Arial" w:hAnsi="Arial"/>
              <w:noProof w:val="0"/>
              <w:rtl/>
            </w:rPr>
            <w:t>29 דצמבר 2024</w:t>
          </w:r>
        </w:sdtContent>
      </w:sdt>
      <w:r>
        <w:rPr>
          <w:rFonts w:ascii="Arial" w:hAnsi="Arial"/>
          <w:noProof w:val="0"/>
          <w:rtl/>
        </w:rPr>
        <w:t>, בהעדר הצדדים.</w:t>
      </w:r>
    </w:p>
    <w:p w:rsidR="00222945" w:rsidRDefault="002E3AFF" w:rsidP="00222945">
      <w:pPr>
        <w:tabs>
          <w:tab w:val="left" w:pos="2553"/>
        </w:tabs>
        <w:ind w:left="5040"/>
        <w:rPr>
          <w:rtl/>
        </w:rPr>
      </w:pPr>
      <w:sdt>
        <w:sdtPr>
          <w:rPr>
            <w:rtl/>
          </w:rPr>
          <w:alias w:val="2045"/>
          <w:tag w:val="2045"/>
          <w:id w:val="740689340"/>
          <w:placeholder>
            <w:docPart w:val="896F6484410D461996D2E404E14F5578"/>
          </w:placeholder>
          <w:showingPlcHdr/>
          <w:text w:multiLine="1"/>
        </w:sdtPr>
        <w:sdtEndPr/>
        <w:sdtContent>
          <w:r w:rsidR="00222945">
            <w:rPr>
              <w:rtl/>
            </w:rPr>
            <w:t xml:space="preserve">     </w:t>
          </w:r>
        </w:sdtContent>
      </w:sdt>
    </w:p>
    <w:p w:rsidR="00222945" w:rsidRDefault="00222945" w:rsidP="00222945">
      <w:pPr>
        <w:tabs>
          <w:tab w:val="left" w:pos="2553"/>
        </w:tabs>
        <w:rPr>
          <w:rtl/>
        </w:rPr>
      </w:pPr>
      <w:r>
        <w:rPr>
          <w:rtl/>
        </w:rPr>
        <w:tab/>
      </w:r>
      <w:r>
        <w:rPr>
          <w:rtl/>
        </w:rPr>
        <w:tab/>
      </w:r>
      <w:r>
        <w:rPr>
          <w:rtl/>
        </w:rPr>
        <w:tab/>
      </w:r>
      <w:r>
        <w:rPr>
          <w:rtl/>
        </w:rPr>
        <w:tab/>
        <w:t xml:space="preserve">        </w:t>
      </w:r>
      <w:sdt>
        <w:sdtPr>
          <w:rPr>
            <w:rtl/>
          </w:rPr>
          <w:alias w:val="MergeField"/>
          <w:tag w:val="1237"/>
          <w:id w:val="-1824889240"/>
        </w:sdtPr>
        <w:sdtEndPr/>
        <w:sdtContent>
          <w:r>
            <w:drawing>
              <wp:inline distT="0" distB="0" distL="0" distR="0">
                <wp:extent cx="797560" cy="466725"/>
                <wp:effectExtent l="0" t="0" r="254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7560" cy="466725"/>
                        </a:xfrm>
                        <a:prstGeom prst="rect">
                          <a:avLst/>
                        </a:prstGeom>
                        <a:noFill/>
                        <a:ln>
                          <a:noFill/>
                        </a:ln>
                      </pic:spPr>
                    </pic:pic>
                  </a:graphicData>
                </a:graphic>
              </wp:inline>
            </w:drawing>
          </w:r>
        </w:sdtContent>
      </w:sdt>
    </w:p>
    <w:p w:rsidR="00222945" w:rsidRDefault="00222945" w:rsidP="00222945">
      <w:pPr>
        <w:tabs>
          <w:tab w:val="left" w:pos="2553"/>
        </w:tabs>
        <w:rPr>
          <w:rFonts w:ascii="Arial" w:hAnsi="Arial"/>
          <w:noProof w:val="0"/>
        </w:rPr>
      </w:pPr>
    </w:p>
    <w:p w:rsidR="00CB1E7A" w:rsidRPr="00F43693" w:rsidRDefault="00CB1E7A" w:rsidP="00F43693"/>
    <w:sectPr w:rsidR="00CB1E7A" w:rsidRPr="00F43693" w:rsidSect="006C30C5">
      <w:headerReference w:type="even" r:id="rId8"/>
      <w:headerReference w:type="default" r:id="rId9"/>
      <w:footerReference w:type="even" r:id="rId10"/>
      <w:footerReference w:type="default" r:id="rId11"/>
      <w:headerReference w:type="first" r:id="rId12"/>
      <w:footerReference w:type="first" r:id="rId13"/>
      <w:pgSz w:w="11907" w:h="16840" w:code="9"/>
      <w:pgMar w:top="454" w:right="1701" w:bottom="1701" w:left="1701" w:header="720" w:footer="510" w:gutter="0"/>
      <w:lnNumType w:countBy="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FF" w:rsidRDefault="002E3AFF" w:rsidP="00A30504">
      <w:r>
        <w:separator/>
      </w:r>
    </w:p>
  </w:endnote>
  <w:endnote w:type="continuationSeparator" w:id="0">
    <w:p w:rsidR="002E3AFF" w:rsidRDefault="002E3AFF" w:rsidP="00A3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05" w:rsidRDefault="00487F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7B" w:rsidRPr="004E6E3C" w:rsidRDefault="00A30504">
    <w:pPr>
      <w:pStyle w:val="a5"/>
      <w:jc w:val="center"/>
      <w:rPr>
        <w:rStyle w:val="a8"/>
      </w:rPr>
    </w:pPr>
    <w:r w:rsidRPr="004E6E3C">
      <w:rPr>
        <w:rStyle w:val="a8"/>
      </w:rPr>
      <w:fldChar w:fldCharType="begin"/>
    </w:r>
    <w:r w:rsidRPr="004E6E3C">
      <w:rPr>
        <w:rStyle w:val="a8"/>
      </w:rPr>
      <w:instrText xml:space="preserve"> PAGE </w:instrText>
    </w:r>
    <w:r w:rsidRPr="004E6E3C">
      <w:rPr>
        <w:rStyle w:val="a8"/>
      </w:rPr>
      <w:fldChar w:fldCharType="separate"/>
    </w:r>
    <w:r w:rsidR="002E3AFF">
      <w:rPr>
        <w:rStyle w:val="a8"/>
        <w:rtl/>
      </w:rPr>
      <w:t>1</w:t>
    </w:r>
    <w:r w:rsidRPr="004E6E3C">
      <w:rPr>
        <w:rStyle w:val="a8"/>
      </w:rPr>
      <w:fldChar w:fldCharType="end"/>
    </w:r>
    <w:r w:rsidRPr="004E6E3C">
      <w:rPr>
        <w:rStyle w:val="a8"/>
        <w:noProof w:val="0"/>
        <w:rtl/>
      </w:rPr>
      <w:t xml:space="preserve"> מתוך </w:t>
    </w:r>
    <w:r w:rsidRPr="004E6E3C">
      <w:rPr>
        <w:rStyle w:val="a8"/>
      </w:rPr>
      <w:fldChar w:fldCharType="begin"/>
    </w:r>
    <w:r w:rsidRPr="004E6E3C">
      <w:rPr>
        <w:rStyle w:val="a8"/>
      </w:rPr>
      <w:instrText xml:space="preserve"> NUMPAGES </w:instrText>
    </w:r>
    <w:r w:rsidRPr="004E6E3C">
      <w:rPr>
        <w:rStyle w:val="a8"/>
      </w:rPr>
      <w:fldChar w:fldCharType="separate"/>
    </w:r>
    <w:r w:rsidR="002E3AFF">
      <w:rPr>
        <w:rStyle w:val="a8"/>
        <w:rtl/>
      </w:rPr>
      <w:t>1</w:t>
    </w:r>
    <w:r w:rsidRPr="004E6E3C">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05" w:rsidRDefault="00487F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FF" w:rsidRDefault="002E3AFF" w:rsidP="00A30504">
      <w:r>
        <w:separator/>
      </w:r>
    </w:p>
  </w:footnote>
  <w:footnote w:type="continuationSeparator" w:id="0">
    <w:p w:rsidR="002E3AFF" w:rsidRDefault="002E3AFF" w:rsidP="00A3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05" w:rsidRDefault="00487F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7B" w:rsidRPr="00A30504" w:rsidRDefault="00A30504">
    <w:pPr>
      <w:pStyle w:val="a3"/>
      <w:jc w:val="center"/>
      <w:rPr>
        <w:noProof w:val="0"/>
        <w:sz w:val="28"/>
        <w:szCs w:val="28"/>
        <w:rtl/>
      </w:rPr>
    </w:pPr>
    <w:r w:rsidRPr="00A30504">
      <w:rPr>
        <w:sz w:val="28"/>
        <w:szCs w:val="28"/>
      </w:rPr>
      <w:drawing>
        <wp:inline distT="0" distB="0" distL="0" distR="0">
          <wp:extent cx="373380" cy="467995"/>
          <wp:effectExtent l="0" t="0" r="7620" b="8255"/>
          <wp:docPr id="2" name="תמונה 2"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p>
  <w:p w:rsidR="00CB1E7A" w:rsidRPr="00CB1E7A" w:rsidRDefault="00CB1E7A" w:rsidP="00CB1E7A">
    <w:pPr>
      <w:rPr>
        <w:b/>
        <w:bCs/>
        <w:sz w:val="2"/>
        <w:szCs w:val="2"/>
        <w:rtl/>
      </w:rPr>
    </w:pPr>
  </w:p>
  <w:p w:rsidR="00330799" w:rsidRPr="00CB1E7A" w:rsidRDefault="00CB1E7A" w:rsidP="00CB1E7A">
    <w:pPr>
      <w:rPr>
        <w:sz w:val="20"/>
        <w:szCs w:val="20"/>
        <w:rtl/>
      </w:rPr>
    </w:pPr>
    <w:r w:rsidRPr="00CB1E7A">
      <w:rPr>
        <w:rtl/>
      </w:rPr>
      <w:t xml:space="preserve">                           </w:t>
    </w:r>
    <w:r w:rsidRPr="00CB1E7A">
      <w:rPr>
        <w:sz w:val="20"/>
        <w:szCs w:val="20"/>
        <w:rtl/>
      </w:rPr>
      <w:t xml:space="preserve">                                 </w:t>
    </w:r>
  </w:p>
  <w:tbl>
    <w:tblPr>
      <w:bidiVisual/>
      <w:tblW w:w="0" w:type="auto"/>
      <w:jc w:val="center"/>
      <w:tblLook w:val="04A0" w:firstRow="1" w:lastRow="0" w:firstColumn="1" w:lastColumn="0" w:noHBand="0" w:noVBand="1"/>
    </w:tblPr>
    <w:tblGrid>
      <w:gridCol w:w="8505"/>
    </w:tblGrid>
    <w:tr w:rsidR="00330799" w:rsidTr="00F43693">
      <w:trPr>
        <w:trHeight w:val="670"/>
        <w:jc w:val="center"/>
      </w:trPr>
      <w:sdt>
        <w:sdtPr>
          <w:rPr>
            <w:rtl/>
          </w:rPr>
          <w:alias w:val="1174"/>
          <w:tag w:val="1174"/>
          <w:id w:val="-1775709220"/>
          <w:text/>
        </w:sdtPr>
        <w:sdtEndPr/>
        <w:sdtContent>
          <w:tc>
            <w:tcPr>
              <w:tcW w:w="8505" w:type="dxa"/>
              <w:hideMark/>
            </w:tcPr>
            <w:p w:rsidR="00330799" w:rsidRDefault="00330799" w:rsidP="00330799">
              <w:pPr>
                <w:pStyle w:val="a3"/>
                <w:jc w:val="center"/>
              </w:pPr>
              <w:r>
                <w:rPr>
                  <w:rFonts w:ascii="Tahoma" w:hAnsi="Tahoma" w:cs="Tahoma"/>
                  <w:b/>
                  <w:bCs/>
                  <w:noProof w:val="0"/>
                  <w:color w:val="000080"/>
                  <w:rtl/>
                </w:rPr>
                <w:t>בית משפט לענייני משפחה בקריית גת</w:t>
              </w:r>
            </w:p>
          </w:tc>
        </w:sdtContent>
      </w:sdt>
    </w:tr>
  </w:tbl>
  <w:p w:rsidR="0000787B" w:rsidRDefault="003232CB" w:rsidP="00330799">
    <w:pPr>
      <w:rPr>
        <w:rFonts w:ascii="David" w:hAnsi="David"/>
        <w:b/>
        <w:bCs/>
        <w:noProof w:val="0"/>
        <w:rtl/>
      </w:rPr>
    </w:pPr>
    <w:r>
      <w:rPr>
        <w:rFonts w:ascii="David" w:hAnsi="David" w:hint="cs"/>
        <w:b/>
        <w:bCs/>
        <w:noProof w:val="0"/>
        <w:rtl/>
      </w:rPr>
      <w:t>תלה"מ 54830-03-21</w:t>
    </w:r>
    <w:r w:rsidR="00487F05">
      <w:rPr>
        <w:rFonts w:ascii="David" w:hAnsi="David" w:hint="cs"/>
        <w:b/>
        <w:bCs/>
        <w:noProof w:val="0"/>
        <w:rtl/>
      </w:rPr>
      <w:t xml:space="preserve"> ט' נ' א'</w:t>
    </w:r>
  </w:p>
  <w:p w:rsidR="003232CB" w:rsidRPr="003232CB" w:rsidRDefault="003232CB" w:rsidP="00330799">
    <w:pPr>
      <w:rPr>
        <w:rFonts w:ascii="David" w:hAnsi="David"/>
        <w:b/>
        <w:bCs/>
        <w:noProof w:val="0"/>
        <w:rtl/>
      </w:rPr>
    </w:pPr>
    <w:r>
      <w:rPr>
        <w:rFonts w:ascii="David" w:hAnsi="David" w:hint="cs"/>
        <w:b/>
        <w:bCs/>
        <w:noProof w:val="0"/>
        <w:rtl/>
      </w:rPr>
      <w:t>תלה"מ 42869-03-21</w:t>
    </w:r>
    <w:r w:rsidR="00487F05">
      <w:rPr>
        <w:rFonts w:ascii="David" w:hAnsi="David" w:hint="cs"/>
        <w:b/>
        <w:bCs/>
        <w:noProof w:val="0"/>
        <w:rtl/>
      </w:rPr>
      <w:t xml:space="preserve">  א' נ' ט'</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05" w:rsidRDefault="00487F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BFA"/>
    <w:multiLevelType w:val="hybridMultilevel"/>
    <w:tmpl w:val="8BBC3C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9A1AB9"/>
    <w:multiLevelType w:val="hybridMultilevel"/>
    <w:tmpl w:val="34C6FE6A"/>
    <w:lvl w:ilvl="0" w:tplc="6EEA6244">
      <w:start w:val="1"/>
      <w:numFmt w:val="hebrew1"/>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3BD45FD"/>
    <w:multiLevelType w:val="hybridMultilevel"/>
    <w:tmpl w:val="9E743A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37CB1806"/>
    <w:multiLevelType w:val="hybridMultilevel"/>
    <w:tmpl w:val="59600E88"/>
    <w:lvl w:ilvl="0" w:tplc="0409000F">
      <w:start w:val="1"/>
      <w:numFmt w:val="decimal"/>
      <w:lvlText w:val="%1."/>
      <w:lvlJc w:val="left"/>
      <w:pPr>
        <w:ind w:left="720" w:hanging="360"/>
      </w:pPr>
      <w:rPr>
        <w:rFonts w:cs="Times New Roman"/>
      </w:rPr>
    </w:lvl>
    <w:lvl w:ilvl="1" w:tplc="CEA04AEA">
      <w:start w:val="1"/>
      <w:numFmt w:val="hebrew1"/>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D0C0A6C"/>
    <w:multiLevelType w:val="hybridMultilevel"/>
    <w:tmpl w:val="2AA0809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29C25CD"/>
    <w:multiLevelType w:val="hybridMultilevel"/>
    <w:tmpl w:val="005E6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04"/>
    <w:rsid w:val="000B2A29"/>
    <w:rsid w:val="000E6940"/>
    <w:rsid w:val="00112F6C"/>
    <w:rsid w:val="00123396"/>
    <w:rsid w:val="00177C90"/>
    <w:rsid w:val="001F032F"/>
    <w:rsid w:val="00204361"/>
    <w:rsid w:val="00222945"/>
    <w:rsid w:val="00252CCB"/>
    <w:rsid w:val="002E3AFF"/>
    <w:rsid w:val="00310C88"/>
    <w:rsid w:val="003232CB"/>
    <w:rsid w:val="00330799"/>
    <w:rsid w:val="00414D88"/>
    <w:rsid w:val="004204FE"/>
    <w:rsid w:val="00487C9F"/>
    <w:rsid w:val="00487F05"/>
    <w:rsid w:val="005B3D41"/>
    <w:rsid w:val="005C7A13"/>
    <w:rsid w:val="00671EB3"/>
    <w:rsid w:val="006A10DE"/>
    <w:rsid w:val="0075045D"/>
    <w:rsid w:val="00832ED3"/>
    <w:rsid w:val="00A30504"/>
    <w:rsid w:val="00C1241C"/>
    <w:rsid w:val="00C827A6"/>
    <w:rsid w:val="00CB1E7A"/>
    <w:rsid w:val="00D62C22"/>
    <w:rsid w:val="00D76B8C"/>
    <w:rsid w:val="00DF1F3E"/>
    <w:rsid w:val="00E44517"/>
    <w:rsid w:val="00EF7B09"/>
    <w:rsid w:val="00F436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362C5-40EA-4545-B06B-143AF035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799"/>
    <w:pPr>
      <w:bidi/>
      <w:spacing w:after="0" w:line="240" w:lineRule="auto"/>
    </w:pPr>
    <w:rPr>
      <w:rFonts w:ascii="Times New Roman" w:eastAsia="Times New Roman" w:hAnsi="Times New Roman" w:cs="David"/>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0504"/>
    <w:pPr>
      <w:tabs>
        <w:tab w:val="center" w:pos="4153"/>
        <w:tab w:val="right" w:pos="8306"/>
      </w:tabs>
    </w:pPr>
  </w:style>
  <w:style w:type="character" w:customStyle="1" w:styleId="a4">
    <w:name w:val="כותרת עליונה תו"/>
    <w:basedOn w:val="a0"/>
    <w:link w:val="a3"/>
    <w:uiPriority w:val="99"/>
    <w:rsid w:val="00A30504"/>
    <w:rPr>
      <w:rFonts w:ascii="Times New Roman" w:eastAsia="Times New Roman" w:hAnsi="Times New Roman" w:cs="David"/>
      <w:noProof/>
      <w:sz w:val="24"/>
      <w:szCs w:val="24"/>
    </w:rPr>
  </w:style>
  <w:style w:type="paragraph" w:styleId="a5">
    <w:name w:val="footer"/>
    <w:basedOn w:val="a"/>
    <w:link w:val="a6"/>
    <w:uiPriority w:val="99"/>
    <w:rsid w:val="00A30504"/>
    <w:pPr>
      <w:tabs>
        <w:tab w:val="center" w:pos="4153"/>
        <w:tab w:val="right" w:pos="8306"/>
      </w:tabs>
    </w:pPr>
  </w:style>
  <w:style w:type="character" w:customStyle="1" w:styleId="a6">
    <w:name w:val="כותרת תחתונה תו"/>
    <w:basedOn w:val="a0"/>
    <w:link w:val="a5"/>
    <w:uiPriority w:val="99"/>
    <w:rsid w:val="00A30504"/>
    <w:rPr>
      <w:rFonts w:ascii="Times New Roman" w:eastAsia="Times New Roman" w:hAnsi="Times New Roman" w:cs="David"/>
      <w:noProof/>
      <w:sz w:val="24"/>
      <w:szCs w:val="24"/>
    </w:rPr>
  </w:style>
  <w:style w:type="table" w:styleId="a7">
    <w:name w:val="Table Grid"/>
    <w:basedOn w:val="a1"/>
    <w:rsid w:val="00A3050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sid w:val="00A30504"/>
    <w:rPr>
      <w:rFonts w:cs="Times New Roman"/>
    </w:rPr>
  </w:style>
  <w:style w:type="character" w:styleId="a9">
    <w:name w:val="line number"/>
    <w:basedOn w:val="a0"/>
    <w:uiPriority w:val="99"/>
    <w:semiHidden/>
    <w:unhideWhenUsed/>
    <w:rsid w:val="00A30504"/>
  </w:style>
  <w:style w:type="paragraph" w:styleId="aa">
    <w:name w:val="Balloon Text"/>
    <w:basedOn w:val="a"/>
    <w:link w:val="ab"/>
    <w:uiPriority w:val="99"/>
    <w:semiHidden/>
    <w:unhideWhenUsed/>
    <w:rsid w:val="00A30504"/>
    <w:rPr>
      <w:rFonts w:ascii="Tahoma" w:hAnsi="Tahoma" w:cs="Tahoma"/>
      <w:sz w:val="18"/>
      <w:szCs w:val="18"/>
    </w:rPr>
  </w:style>
  <w:style w:type="character" w:customStyle="1" w:styleId="ab">
    <w:name w:val="טקסט בלונים תו"/>
    <w:basedOn w:val="a0"/>
    <w:link w:val="aa"/>
    <w:uiPriority w:val="99"/>
    <w:semiHidden/>
    <w:rsid w:val="00A30504"/>
    <w:rPr>
      <w:rFonts w:ascii="Tahoma" w:hAnsi="Tahoma" w:cs="Tahoma"/>
      <w:sz w:val="18"/>
      <w:szCs w:val="18"/>
    </w:rPr>
  </w:style>
  <w:style w:type="paragraph" w:styleId="ac">
    <w:name w:val="List Paragraph"/>
    <w:basedOn w:val="a"/>
    <w:uiPriority w:val="34"/>
    <w:qFormat/>
    <w:rsid w:val="00CB1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6088">
      <w:bodyDiv w:val="1"/>
      <w:marLeft w:val="0"/>
      <w:marRight w:val="0"/>
      <w:marTop w:val="0"/>
      <w:marBottom w:val="0"/>
      <w:divBdr>
        <w:top w:val="none" w:sz="0" w:space="0" w:color="auto"/>
        <w:left w:val="none" w:sz="0" w:space="0" w:color="auto"/>
        <w:bottom w:val="none" w:sz="0" w:space="0" w:color="auto"/>
        <w:right w:val="none" w:sz="0" w:space="0" w:color="auto"/>
      </w:divBdr>
    </w:div>
    <w:div w:id="647132013">
      <w:bodyDiv w:val="1"/>
      <w:marLeft w:val="0"/>
      <w:marRight w:val="0"/>
      <w:marTop w:val="0"/>
      <w:marBottom w:val="0"/>
      <w:divBdr>
        <w:top w:val="none" w:sz="0" w:space="0" w:color="auto"/>
        <w:left w:val="none" w:sz="0" w:space="0" w:color="auto"/>
        <w:bottom w:val="none" w:sz="0" w:space="0" w:color="auto"/>
        <w:right w:val="none" w:sz="0" w:space="0" w:color="auto"/>
      </w:divBdr>
    </w:div>
    <w:div w:id="1695568621">
      <w:bodyDiv w:val="1"/>
      <w:marLeft w:val="0"/>
      <w:marRight w:val="0"/>
      <w:marTop w:val="0"/>
      <w:marBottom w:val="0"/>
      <w:divBdr>
        <w:top w:val="none" w:sz="0" w:space="0" w:color="auto"/>
        <w:left w:val="none" w:sz="0" w:space="0" w:color="auto"/>
        <w:bottom w:val="none" w:sz="0" w:space="0" w:color="auto"/>
        <w:right w:val="none" w:sz="0" w:space="0" w:color="auto"/>
      </w:divBdr>
    </w:div>
    <w:div w:id="20586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765043F56E4FDA9C27D458CFA85CF5"/>
        <w:category>
          <w:name w:val="כללי"/>
          <w:gallery w:val="placeholder"/>
        </w:category>
        <w:types>
          <w:type w:val="bbPlcHdr"/>
        </w:types>
        <w:behaviors>
          <w:behavior w:val="content"/>
        </w:behaviors>
        <w:guid w:val="{7E69E581-9B2F-40B8-BE33-72E6F6C73203}"/>
      </w:docPartPr>
      <w:docPartBody>
        <w:p w:rsidR="0017405A" w:rsidRDefault="008350CB" w:rsidP="008350CB">
          <w:pPr>
            <w:pStyle w:val="45765043F56E4FDA9C27D458CFA85CF5"/>
          </w:pPr>
          <w:r>
            <w:rPr>
              <w:rFonts w:ascii="Arial" w:hAnsi="Arial"/>
              <w:b/>
              <w:bCs/>
              <w:sz w:val="26"/>
              <w:szCs w:val="26"/>
              <w:rtl/>
            </w:rPr>
            <w:t>סוג זיהוי צד א'</w:t>
          </w:r>
        </w:p>
      </w:docPartBody>
    </w:docPart>
    <w:docPart>
      <w:docPartPr>
        <w:name w:val="3C47470B49D541A98CC241A4FB92E846"/>
        <w:category>
          <w:name w:val="כללי"/>
          <w:gallery w:val="placeholder"/>
        </w:category>
        <w:types>
          <w:type w:val="bbPlcHdr"/>
        </w:types>
        <w:behaviors>
          <w:behavior w:val="content"/>
        </w:behaviors>
        <w:guid w:val="{37C45B64-02CA-4CAB-B136-221C51467921}"/>
      </w:docPartPr>
      <w:docPartBody>
        <w:p w:rsidR="0017405A" w:rsidRDefault="008350CB" w:rsidP="008350CB">
          <w:pPr>
            <w:pStyle w:val="3C47470B49D541A98CC241A4FB92E846"/>
          </w:pPr>
          <w:r>
            <w:rPr>
              <w:rFonts w:ascii="Arial" w:hAnsi="Arial"/>
              <w:b/>
              <w:bCs/>
              <w:sz w:val="26"/>
              <w:szCs w:val="26"/>
              <w:rtl/>
            </w:rPr>
            <w:t>סוג זיהוי צד ב'</w:t>
          </w:r>
        </w:p>
      </w:docPartBody>
    </w:docPart>
    <w:docPart>
      <w:docPartPr>
        <w:name w:val="896F6484410D461996D2E404E14F5578"/>
        <w:category>
          <w:name w:val="כללי"/>
          <w:gallery w:val="placeholder"/>
        </w:category>
        <w:types>
          <w:type w:val="bbPlcHdr"/>
        </w:types>
        <w:behaviors>
          <w:behavior w:val="content"/>
        </w:behaviors>
        <w:guid w:val="{AEFE3AB1-5F02-4ED0-A2CE-2ADA05C4E9D2}"/>
      </w:docPartPr>
      <w:docPartBody>
        <w:p w:rsidR="0017405A" w:rsidRDefault="008350CB" w:rsidP="008350CB">
          <w:pPr>
            <w:pStyle w:val="896F6484410D461996D2E404E14F5578"/>
          </w:pPr>
          <w:r>
            <w:rPr>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41"/>
    <w:rsid w:val="0017405A"/>
    <w:rsid w:val="00455370"/>
    <w:rsid w:val="008350CB"/>
    <w:rsid w:val="00E17978"/>
    <w:rsid w:val="00F948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294DFC47F540F284286B250375FB0A">
    <w:name w:val="34294DFC47F540F284286B250375FB0A"/>
    <w:rsid w:val="00F94841"/>
    <w:pPr>
      <w:bidi/>
    </w:pPr>
  </w:style>
  <w:style w:type="paragraph" w:customStyle="1" w:styleId="03664DF8261541AAAED09F96CD4A5D17">
    <w:name w:val="03664DF8261541AAAED09F96CD4A5D17"/>
    <w:rsid w:val="00F94841"/>
    <w:pPr>
      <w:bidi/>
    </w:pPr>
  </w:style>
  <w:style w:type="paragraph" w:customStyle="1" w:styleId="85EFCFF3A1A948538DF90AEC64E9B7CD">
    <w:name w:val="85EFCFF3A1A948538DF90AEC64E9B7CD"/>
    <w:rsid w:val="00F94841"/>
    <w:pPr>
      <w:bidi/>
    </w:pPr>
  </w:style>
  <w:style w:type="paragraph" w:customStyle="1" w:styleId="2AD4DB4F81CA472883BCE66EC2DCF10A">
    <w:name w:val="2AD4DB4F81CA472883BCE66EC2DCF10A"/>
    <w:rsid w:val="00F94841"/>
    <w:pPr>
      <w:bidi/>
    </w:pPr>
  </w:style>
  <w:style w:type="character" w:styleId="a3">
    <w:name w:val="Placeholder Text"/>
    <w:basedOn w:val="a0"/>
    <w:uiPriority w:val="99"/>
    <w:semiHidden/>
    <w:rsid w:val="00F94841"/>
  </w:style>
  <w:style w:type="paragraph" w:customStyle="1" w:styleId="AA84A2823C0B45FBAD1A35D5ED710CA8">
    <w:name w:val="AA84A2823C0B45FBAD1A35D5ED710CA8"/>
    <w:rsid w:val="00F94841"/>
    <w:pPr>
      <w:bidi/>
    </w:pPr>
  </w:style>
  <w:style w:type="paragraph" w:customStyle="1" w:styleId="45765043F56E4FDA9C27D458CFA85CF5">
    <w:name w:val="45765043F56E4FDA9C27D458CFA85CF5"/>
    <w:rsid w:val="008350CB"/>
    <w:pPr>
      <w:bidi/>
    </w:pPr>
  </w:style>
  <w:style w:type="paragraph" w:customStyle="1" w:styleId="977C261769B343F3842318C41C0DACFD">
    <w:name w:val="977C261769B343F3842318C41C0DACFD"/>
    <w:rsid w:val="008350CB"/>
    <w:pPr>
      <w:bidi/>
    </w:pPr>
  </w:style>
  <w:style w:type="paragraph" w:customStyle="1" w:styleId="3C47470B49D541A98CC241A4FB92E846">
    <w:name w:val="3C47470B49D541A98CC241A4FB92E846"/>
    <w:rsid w:val="008350CB"/>
    <w:pPr>
      <w:bidi/>
    </w:pPr>
  </w:style>
  <w:style w:type="paragraph" w:customStyle="1" w:styleId="6B3E5F9461934CE3B29B0C3CC93CDECC">
    <w:name w:val="6B3E5F9461934CE3B29B0C3CC93CDECC"/>
    <w:rsid w:val="008350CB"/>
    <w:pPr>
      <w:bidi/>
    </w:pPr>
  </w:style>
  <w:style w:type="paragraph" w:customStyle="1" w:styleId="896F6484410D461996D2E404E14F5578">
    <w:name w:val="896F6484410D461996D2E404E14F5578"/>
    <w:rsid w:val="008350C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2480</Words>
  <Characters>12404</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Court</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ליאת אזנקוט</dc:creator>
  <cp:keywords/>
  <dc:description/>
  <cp:lastModifiedBy>נעמה שחר</cp:lastModifiedBy>
  <cp:revision>3</cp:revision>
  <cp:lastPrinted>2021-12-30T11:23:00Z</cp:lastPrinted>
  <dcterms:created xsi:type="dcterms:W3CDTF">2025-01-19T06:13:00Z</dcterms:created>
  <dcterms:modified xsi:type="dcterms:W3CDTF">2025-01-19T06:18:00Z</dcterms:modified>
</cp:coreProperties>
</file>